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C470F8" w:rsidR="00C470F8" w:rsidP="4C029F3D" w:rsidRDefault="00C470F8" w14:paraId="4DBAEDDB" w14:textId="11153224">
      <w:pPr>
        <w:pStyle w:val="Title"/>
        <w:jc w:val="center"/>
        <w:rPr>
          <w:b w:val="1"/>
          <w:bCs w:val="1"/>
          <w:noProof w:val="0"/>
          <w:lang w:val="en-GB"/>
        </w:rPr>
      </w:pPr>
      <w:r w:rsidRPr="4C029F3D" w:rsidR="00DE642F">
        <w:rPr>
          <w:b w:val="1"/>
          <w:bCs w:val="1"/>
          <w:noProof w:val="0"/>
          <w:lang w:val="en-GB"/>
        </w:rPr>
        <w:t>N</w:t>
      </w:r>
      <w:r w:rsidRPr="4C029F3D" w:rsidR="00C470F8">
        <w:rPr>
          <w:b w:val="1"/>
          <w:bCs w:val="1"/>
          <w:noProof w:val="0"/>
          <w:lang w:val="en-GB"/>
        </w:rPr>
        <w:t>eutron noise benchmark on a simplified UOX fuel assembly</w:t>
      </w:r>
    </w:p>
    <w:p w:rsidR="00F066EA" w:rsidP="4C029F3D" w:rsidRDefault="005E687A" w14:paraId="1FBD199A" w14:textId="6D088B77">
      <w:pPr>
        <w:rPr>
          <w:noProof w:val="0"/>
          <w:lang w:val="en-GB"/>
        </w:rPr>
      </w:pPr>
      <w:r w:rsidRPr="4C029F3D" w:rsidR="005E687A">
        <w:rPr>
          <w:noProof w:val="0"/>
          <w:lang w:val="en-GB"/>
        </w:rPr>
        <w:t>T</w:t>
      </w:r>
      <w:r w:rsidRPr="4C029F3D" w:rsidR="005E687A">
        <w:rPr>
          <w:noProof w:val="0"/>
          <w:lang w:val="en-GB"/>
        </w:rPr>
        <w:t xml:space="preserve">his </w:t>
      </w:r>
      <w:r w:rsidRPr="4C029F3D" w:rsidR="009F0457">
        <w:rPr>
          <w:noProof w:val="0"/>
          <w:lang w:val="en-GB"/>
        </w:rPr>
        <w:t>document</w:t>
      </w:r>
      <w:r w:rsidRPr="4C029F3D" w:rsidR="005E687A">
        <w:rPr>
          <w:noProof w:val="0"/>
          <w:lang w:val="en-GB"/>
        </w:rPr>
        <w:t xml:space="preserve"> presents the calculations performed </w:t>
      </w:r>
      <w:r w:rsidRPr="4C029F3D" w:rsidR="00E32C81">
        <w:rPr>
          <w:noProof w:val="0"/>
          <w:lang w:val="en-GB"/>
        </w:rPr>
        <w:t>us</w:t>
      </w:r>
      <w:r w:rsidRPr="4C029F3D" w:rsidR="00E32C81">
        <w:rPr>
          <w:noProof w:val="0"/>
          <w:lang w:val="en-GB"/>
        </w:rPr>
        <w:t>ing</w:t>
      </w:r>
      <w:r w:rsidRPr="4C029F3D" w:rsidR="00653A1F">
        <w:rPr>
          <w:noProof w:val="0"/>
          <w:lang w:val="en-GB"/>
        </w:rPr>
        <w:t xml:space="preserve"> </w:t>
      </w:r>
      <w:r w:rsidRPr="4C029F3D" w:rsidR="115A6801">
        <w:rPr>
          <w:noProof w:val="0"/>
          <w:lang w:val="en-GB"/>
        </w:rPr>
        <w:t>the time</w:t>
      </w:r>
      <w:r w:rsidRPr="4C029F3D" w:rsidR="66D8271A">
        <w:rPr>
          <w:noProof w:val="0"/>
          <w:lang w:val="en-GB"/>
        </w:rPr>
        <w:t>-</w:t>
      </w:r>
      <w:r w:rsidRPr="4C029F3D" w:rsidR="115A6801">
        <w:rPr>
          <w:noProof w:val="0"/>
          <w:lang w:val="en-GB"/>
        </w:rPr>
        <w:t xml:space="preserve">domain code FEMFFUSION </w:t>
      </w:r>
      <w:r w:rsidRPr="4C029F3D" w:rsidR="005E687A">
        <w:rPr>
          <w:noProof w:val="0"/>
          <w:lang w:val="en-GB"/>
        </w:rPr>
        <w:t xml:space="preserve">developed at </w:t>
      </w:r>
      <w:r w:rsidRPr="4C029F3D" w:rsidR="6FB98213">
        <w:rPr>
          <w:noProof w:val="0"/>
          <w:lang w:val="en-GB"/>
        </w:rPr>
        <w:t xml:space="preserve">Universitat </w:t>
      </w:r>
      <w:proofErr w:type="spellStart"/>
      <w:r w:rsidRPr="4C029F3D" w:rsidR="6FB98213">
        <w:rPr>
          <w:noProof w:val="0"/>
          <w:lang w:val="en-GB"/>
        </w:rPr>
        <w:t>Politècnica</w:t>
      </w:r>
      <w:proofErr w:type="spellEnd"/>
      <w:r w:rsidRPr="4C029F3D" w:rsidR="6FB98213">
        <w:rPr>
          <w:noProof w:val="0"/>
          <w:lang w:val="en-GB"/>
        </w:rPr>
        <w:t xml:space="preserve"> de </w:t>
      </w:r>
      <w:proofErr w:type="spellStart"/>
      <w:r w:rsidRPr="4C029F3D" w:rsidR="6FB98213">
        <w:rPr>
          <w:noProof w:val="0"/>
          <w:lang w:val="en-GB"/>
        </w:rPr>
        <w:t>València</w:t>
      </w:r>
      <w:proofErr w:type="spellEnd"/>
      <w:r w:rsidRPr="4C029F3D" w:rsidR="005E687A">
        <w:rPr>
          <w:noProof w:val="0"/>
          <w:lang w:val="en-GB"/>
        </w:rPr>
        <w:t>, for the neutron noise benchmark on a simplified UOX fuel assembly</w:t>
      </w:r>
      <w:r w:rsidRPr="4C029F3D" w:rsidR="00E32C81">
        <w:rPr>
          <w:noProof w:val="0"/>
          <w:lang w:val="en-GB"/>
        </w:rPr>
        <w:t>.</w:t>
      </w:r>
      <w:r w:rsidRPr="4C029F3D" w:rsidR="00E32C81">
        <w:rPr>
          <w:noProof w:val="0"/>
          <w:lang w:val="en-GB"/>
        </w:rPr>
        <w:t xml:space="preserve"> </w:t>
      </w:r>
      <w:r w:rsidRPr="4C029F3D" w:rsidR="6B8D6CDC">
        <w:rPr>
          <w:noProof w:val="0"/>
          <w:lang w:val="en-GB"/>
        </w:rPr>
        <w:t xml:space="preserve">This code uses the neutron diffusion approximation with two energy groups. Their results must be </w:t>
      </w:r>
      <w:r w:rsidRPr="4C029F3D" w:rsidR="6C29C0CB">
        <w:rPr>
          <w:noProof w:val="0"/>
          <w:lang w:val="en-GB"/>
        </w:rPr>
        <w:t>simi</w:t>
      </w:r>
      <w:r w:rsidRPr="4C029F3D" w:rsidR="0F335483">
        <w:rPr>
          <w:noProof w:val="0"/>
          <w:lang w:val="en-GB"/>
        </w:rPr>
        <w:t xml:space="preserve">lar </w:t>
      </w:r>
      <w:r w:rsidRPr="4C029F3D" w:rsidR="6C29C0CB">
        <w:rPr>
          <w:noProof w:val="0"/>
          <w:lang w:val="en-GB"/>
        </w:rPr>
        <w:t>to</w:t>
      </w:r>
      <w:r w:rsidRPr="4C029F3D" w:rsidR="6C29C0CB">
        <w:rPr>
          <w:noProof w:val="0"/>
          <w:lang w:val="en-GB"/>
        </w:rPr>
        <w:t xml:space="preserve"> CORESIM+ developed by Chalmers University of Technology.</w:t>
      </w:r>
      <w:r w:rsidRPr="4C029F3D" w:rsidR="6B8D6CDC">
        <w:rPr>
          <w:noProof w:val="0"/>
          <w:lang w:val="en-GB"/>
        </w:rPr>
        <w:t xml:space="preserve"> </w:t>
      </w:r>
      <w:r w:rsidRPr="4C029F3D" w:rsidR="00E32C81">
        <w:rPr>
          <w:noProof w:val="0"/>
          <w:lang w:val="en-GB"/>
        </w:rPr>
        <w:t>The specifications of the benchmark are</w:t>
      </w:r>
      <w:r w:rsidRPr="4C029F3D" w:rsidR="005E687A">
        <w:rPr>
          <w:noProof w:val="0"/>
          <w:lang w:val="en-GB"/>
        </w:rPr>
        <w:t xml:space="preserve"> provided by CEA</w:t>
      </w:r>
      <w:r w:rsidRPr="4C029F3D" w:rsidR="00E32C81">
        <w:rPr>
          <w:noProof w:val="0"/>
          <w:lang w:val="en-GB"/>
        </w:rPr>
        <w:t>-</w:t>
      </w:r>
      <w:proofErr w:type="spellStart"/>
      <w:r w:rsidRPr="4C029F3D" w:rsidR="00E32C81">
        <w:rPr>
          <w:noProof w:val="0"/>
          <w:lang w:val="en-GB"/>
        </w:rPr>
        <w:t>Saclay</w:t>
      </w:r>
      <w:proofErr w:type="spellEnd"/>
      <w:r w:rsidRPr="4C029F3D" w:rsidR="005E687A">
        <w:rPr>
          <w:noProof w:val="0"/>
          <w:lang w:val="en-GB"/>
        </w:rPr>
        <w:t xml:space="preserve">. </w:t>
      </w:r>
    </w:p>
    <w:p w:rsidR="00F066EA" w:rsidP="4C029F3D" w:rsidRDefault="002C57AC" w14:paraId="04C31BC5" w14:textId="1C3FBDF2">
      <w:pPr>
        <w:pStyle w:val="Heading1"/>
        <w:numPr>
          <w:ilvl w:val="0"/>
          <w:numId w:val="4"/>
        </w:numPr>
        <w:ind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0000" w:themeColor="text1" w:themeTint="FF" w:themeShade="FF"/>
          <w:sz w:val="32"/>
          <w:szCs w:val="32"/>
          <w:lang w:val="sv-SE"/>
        </w:rPr>
      </w:pPr>
      <w:r w:rsidRPr="4C029F3D" w:rsidR="002C57AC">
        <w:rPr>
          <w:noProof w:val="0"/>
          <w:lang w:val="en-GB"/>
        </w:rPr>
        <w:t>Computational</w:t>
      </w:r>
      <w:r w:rsidRPr="4C029F3D" w:rsidR="002C57AC">
        <w:rPr>
          <w:noProof w:val="0"/>
          <w:lang w:val="en-GB"/>
        </w:rPr>
        <w:t xml:space="preserve"> </w:t>
      </w:r>
      <w:r w:rsidRPr="4C029F3D" w:rsidR="0E5EF20C">
        <w:rPr>
          <w:noProof w:val="0"/>
          <w:lang w:val="en-GB"/>
        </w:rPr>
        <w:t>mesh</w:t>
      </w:r>
    </w:p>
    <w:p w:rsidR="003B63D0" w:rsidP="4C029F3D" w:rsidRDefault="003B63D0" w14:paraId="5A20D2F6" w14:textId="77777777">
      <w:pPr>
        <w:rPr>
          <w:noProof w:val="0"/>
          <w:lang w:val="en-GB"/>
        </w:rPr>
      </w:pPr>
    </w:p>
    <w:p w:rsidR="008233A2" w:rsidP="4C029F3D" w:rsidRDefault="008233A2" w14:paraId="7CAFF485" w14:textId="68FCD8B9">
      <w:pPr>
        <w:pStyle w:val="Normal"/>
        <w:ind w:left="0"/>
        <w:rPr>
          <w:noProof w:val="0"/>
          <w:lang w:val="en-GB"/>
        </w:rPr>
      </w:pPr>
      <w:r w:rsidRPr="4C029F3D" w:rsidR="00EA4EDA">
        <w:rPr>
          <w:noProof w:val="0"/>
          <w:lang w:val="en-GB"/>
        </w:rPr>
        <w:t>T</w:t>
      </w:r>
      <w:r w:rsidRPr="4C029F3D" w:rsidR="00CD5837">
        <w:rPr>
          <w:noProof w:val="0"/>
          <w:lang w:val="en-GB"/>
        </w:rPr>
        <w:t xml:space="preserve">he </w:t>
      </w:r>
      <w:r w:rsidRPr="4C029F3D" w:rsidR="00914F41">
        <w:rPr>
          <w:noProof w:val="0"/>
          <w:lang w:val="en-GB"/>
        </w:rPr>
        <w:t>sp</w:t>
      </w:r>
      <w:r w:rsidRPr="4C029F3D" w:rsidR="00914F41">
        <w:rPr>
          <w:noProof w:val="0"/>
          <w:lang w:val="en-GB"/>
        </w:rPr>
        <w:t xml:space="preserve">atial </w:t>
      </w:r>
      <w:r w:rsidRPr="4C029F3D" w:rsidR="00CD5837">
        <w:rPr>
          <w:noProof w:val="0"/>
          <w:lang w:val="en-GB"/>
        </w:rPr>
        <w:t>mesh</w:t>
      </w:r>
      <w:r w:rsidRPr="4C029F3D" w:rsidR="75531F4A">
        <w:rPr>
          <w:noProof w:val="0"/>
          <w:lang w:val="en-GB"/>
        </w:rPr>
        <w:t xml:space="preserve"> was defined by the benchmark using 138x138 cells.</w:t>
      </w:r>
      <w:r w:rsidRPr="4C029F3D" w:rsidR="6D29B7BA">
        <w:rPr>
          <w:noProof w:val="0"/>
          <w:lang w:val="en-GB"/>
        </w:rPr>
        <w:t xml:space="preserve"> </w:t>
      </w:r>
      <w:r w:rsidRPr="4C029F3D" w:rsidR="00C15EAF">
        <w:rPr>
          <w:noProof w:val="0"/>
          <w:lang w:val="en-GB"/>
        </w:rPr>
        <w:t>Results</w:t>
      </w:r>
      <w:r w:rsidRPr="4C029F3D" w:rsidR="68AD023F">
        <w:rPr>
          <w:noProof w:val="0"/>
          <w:lang w:val="en-GB"/>
        </w:rPr>
        <w:t xml:space="preserve"> </w:t>
      </w:r>
      <w:r w:rsidRPr="4C029F3D" w:rsidR="00C15EAF">
        <w:rPr>
          <w:noProof w:val="0"/>
          <w:lang w:val="en-GB"/>
        </w:rPr>
        <w:t>calculated</w:t>
      </w:r>
      <w:r w:rsidRPr="4C029F3D" w:rsidR="52E438EF">
        <w:rPr>
          <w:noProof w:val="0"/>
          <w:lang w:val="en-GB"/>
        </w:rPr>
        <w:t xml:space="preserve"> FEMFFUSION </w:t>
      </w:r>
      <w:r w:rsidRPr="4C029F3D" w:rsidR="47DF5BA5">
        <w:rPr>
          <w:noProof w:val="0"/>
          <w:lang w:val="en-GB"/>
        </w:rPr>
        <w:t xml:space="preserve">use a </w:t>
      </w:r>
      <w:r w:rsidRPr="4C029F3D" w:rsidR="6D1168D1">
        <w:rPr>
          <w:noProof w:val="0"/>
          <w:lang w:val="en-GB"/>
        </w:rPr>
        <w:t>2</w:t>
      </w:r>
      <w:r w:rsidRPr="4C029F3D" w:rsidR="6D1168D1">
        <w:rPr>
          <w:noProof w:val="0"/>
          <w:vertAlign w:val="superscript"/>
          <w:lang w:val="en-GB"/>
        </w:rPr>
        <w:t>nd</w:t>
      </w:r>
      <w:r w:rsidRPr="4C029F3D" w:rsidR="6D1168D1">
        <w:rPr>
          <w:noProof w:val="0"/>
          <w:lang w:val="en-GB"/>
        </w:rPr>
        <w:t xml:space="preserve"> degree</w:t>
      </w:r>
      <w:r w:rsidRPr="4C029F3D" w:rsidR="47DF5BA5">
        <w:rPr>
          <w:noProof w:val="0"/>
          <w:lang w:val="en-GB"/>
        </w:rPr>
        <w:t xml:space="preserve"> pol</w:t>
      </w:r>
      <w:r w:rsidRPr="4C029F3D" w:rsidR="49B67BE3">
        <w:rPr>
          <w:noProof w:val="0"/>
          <w:lang w:val="en-GB"/>
        </w:rPr>
        <w:t>y</w:t>
      </w:r>
      <w:r w:rsidRPr="4C029F3D" w:rsidR="47DF5BA5">
        <w:rPr>
          <w:noProof w:val="0"/>
          <w:lang w:val="en-GB"/>
        </w:rPr>
        <w:t>nomial</w:t>
      </w:r>
      <w:r w:rsidRPr="4C029F3D" w:rsidR="6F89E4ED">
        <w:rPr>
          <w:noProof w:val="0"/>
          <w:lang w:val="en-GB"/>
        </w:rPr>
        <w:t xml:space="preserve"> in the finite element method. </w:t>
      </w:r>
      <w:r w:rsidRPr="4C029F3D" w:rsidR="47DF5BA5">
        <w:rPr>
          <w:noProof w:val="0"/>
          <w:lang w:val="en-GB"/>
        </w:rPr>
        <w:t xml:space="preserve"> </w:t>
      </w:r>
      <w:r w:rsidRPr="4C029F3D" w:rsidR="08188C14">
        <w:rPr>
          <w:noProof w:val="0"/>
          <w:lang w:val="en-GB"/>
        </w:rPr>
        <w:t xml:space="preserve">Also, the time step was set to 0.001 s </w:t>
      </w:r>
      <w:r w:rsidRPr="4C029F3D" w:rsidR="6D2D575D">
        <w:rPr>
          <w:noProof w:val="0"/>
          <w:lang w:val="en-GB"/>
        </w:rPr>
        <w:t xml:space="preserve">simulating a total of 3 seconds (3 complete cycles). </w:t>
      </w:r>
    </w:p>
    <w:p w:rsidR="008233A2" w:rsidP="4C029F3D" w:rsidRDefault="008233A2" w14:paraId="62D49EAF" w14:textId="50E49595">
      <w:pPr>
        <w:pStyle w:val="Heading1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0000" w:themeColor="text1" w:themeTint="FF" w:themeShade="FF"/>
          <w:sz w:val="32"/>
          <w:szCs w:val="32"/>
          <w:lang w:val="sv-SE"/>
        </w:rPr>
      </w:pPr>
      <w:r w:rsidRPr="4C029F3D" w:rsidR="008233A2">
        <w:rPr>
          <w:noProof w:val="0"/>
          <w:lang w:val="en-GB"/>
        </w:rPr>
        <w:t xml:space="preserve">Critical </w:t>
      </w:r>
      <w:r w:rsidRPr="4C029F3D" w:rsidR="00C15EAF">
        <w:rPr>
          <w:noProof w:val="0"/>
          <w:lang w:val="en-GB"/>
        </w:rPr>
        <w:t>calculation</w:t>
      </w:r>
    </w:p>
    <w:p w:rsidRPr="008167A5" w:rsidR="00C16835" w:rsidP="4C029F3D" w:rsidRDefault="00C16835" w14:paraId="1539FCC4" w14:textId="5C031D29">
      <w:pPr>
        <w:rPr>
          <w:noProof w:val="0"/>
          <w:lang w:val="en-GB"/>
        </w:rPr>
      </w:pPr>
      <w:bookmarkStart w:name="_GoBack" w:id="0"/>
      <w:bookmarkEnd w:id="0"/>
      <w:r w:rsidRPr="4C029F3D" w:rsidR="008167A5">
        <w:rPr>
          <w:noProof w:val="0"/>
          <w:lang w:val="en-GB"/>
        </w:rPr>
        <w:t>The results of the s</w:t>
      </w:r>
      <w:r w:rsidRPr="4C029F3D" w:rsidR="008167A5">
        <w:rPr>
          <w:noProof w:val="0"/>
          <w:lang w:val="en-GB"/>
        </w:rPr>
        <w:t>tatic calculations are summarized in Table I.</w:t>
      </w:r>
    </w:p>
    <w:p w:rsidRPr="00281693" w:rsidR="00E83C13" w:rsidP="4C029F3D" w:rsidRDefault="00E83C13" w14:paraId="7824788C" w14:textId="01EF8BB5">
      <w:pPr>
        <w:pStyle w:val="Caption"/>
        <w:keepNext/>
        <w:jc w:val="center"/>
        <w:rPr>
          <w:noProof w:val="0"/>
          <w:lang w:val="en-GB"/>
        </w:rPr>
      </w:pPr>
      <w:r w:rsidRPr="4C029F3D" w:rsidR="00E83C13">
        <w:rPr>
          <w:noProof w:val="0"/>
          <w:lang w:val="en-GB"/>
        </w:rPr>
        <w:t xml:space="preserve">Table </w:t>
      </w:r>
      <w:r>
        <w:fldChar w:fldCharType="begin"/>
      </w:r>
      <w:r>
        <w:instrText xml:space="preserve"> SEQ Table \* ROMAN </w:instrText>
      </w:r>
      <w:r>
        <w:fldChar w:fldCharType="separate"/>
      </w:r>
      <w:r w:rsidRPr="4C029F3D" w:rsidR="00470654">
        <w:rPr>
          <w:noProof/>
        </w:rPr>
        <w:t>I</w:t>
      </w:r>
      <w:r>
        <w:fldChar w:fldCharType="end"/>
      </w:r>
      <w:r w:rsidRPr="4C029F3D" w:rsidR="00E83C13">
        <w:rPr>
          <w:noProof w:val="0"/>
          <w:lang w:val="en-GB"/>
        </w:rPr>
        <w:t xml:space="preserve"> </w:t>
      </w:r>
      <w:r w:rsidRPr="4C029F3D" w:rsidR="00583A39">
        <w:rPr>
          <w:noProof w:val="0"/>
          <w:lang w:val="en-GB"/>
        </w:rPr>
        <w:t>Value</w:t>
      </w:r>
      <w:r w:rsidRPr="4C029F3D" w:rsidR="00E4265F">
        <w:rPr>
          <w:noProof w:val="0"/>
          <w:lang w:val="en-GB"/>
        </w:rPr>
        <w:t>s</w:t>
      </w:r>
      <w:r w:rsidRPr="4C029F3D" w:rsidR="00583A39">
        <w:rPr>
          <w:noProof w:val="0"/>
          <w:lang w:val="en-GB"/>
        </w:rPr>
        <w:t xml:space="preserve"> of </w:t>
      </w:r>
      <w:proofErr w:type="spellStart"/>
      <w:r w:rsidRPr="4C029F3D" w:rsidR="00E83C13">
        <w:rPr>
          <w:noProof w:val="0"/>
          <w:lang w:val="en-GB"/>
        </w:rPr>
        <w:t>k</w:t>
      </w:r>
      <w:r w:rsidRPr="4C029F3D" w:rsidR="00E83C13">
        <w:rPr>
          <w:noProof w:val="0"/>
          <w:vertAlign w:val="subscript"/>
          <w:lang w:val="en-GB"/>
        </w:rPr>
        <w:t>eff</w:t>
      </w:r>
      <w:proofErr w:type="spellEnd"/>
      <w:r w:rsidRPr="4C029F3D" w:rsidR="00E83C13">
        <w:rPr>
          <w:noProof w:val="0"/>
          <w:lang w:val="en-GB"/>
        </w:rPr>
        <w:t xml:space="preserve"> </w:t>
      </w:r>
      <w:r w:rsidRPr="4C029F3D" w:rsidR="183F6D74">
        <w:rPr>
          <w:noProof w:val="0"/>
          <w:lang w:val="en-GB"/>
        </w:rPr>
        <w:t>.</w:t>
      </w:r>
      <w:r w:rsidRPr="4C029F3D" w:rsidR="00583A39">
        <w:rPr>
          <w:noProof w:val="0"/>
          <w:lang w:val="en-GB"/>
        </w:rPr>
        <w:t xml:space="preserve"> 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E32C81" w:rsidTr="4C029F3D" w14:paraId="26F6DACB" w14:textId="41276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Pr="008233A2" w:rsidR="00E32C81" w:rsidP="4C029F3D" w:rsidRDefault="00E32C81" w14:paraId="750CBA1D" w14:textId="24AEEC9B">
            <w:pPr>
              <w:jc w:val="center"/>
              <w:rPr>
                <w:noProof w:val="0"/>
                <w:color w:val="000000" w:themeColor="text1"/>
                <w:lang w:val="en-GB"/>
              </w:rPr>
            </w:pPr>
            <w:r w:rsidRPr="4C029F3D" w:rsidR="00E32C81">
              <w:rPr>
                <w:noProof w:val="0"/>
                <w:color w:val="000000" w:themeColor="text1" w:themeTint="FF" w:themeShade="FF"/>
                <w:lang w:val="en-GB"/>
              </w:rPr>
              <w:t>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Pr="008233A2" w:rsidR="00E32C81" w:rsidP="4C029F3D" w:rsidRDefault="00E32C81" w14:paraId="044CCECB" w14:textId="36731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 w:val="0"/>
                <w:color w:val="000000" w:themeColor="text1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eff</m:t>
                    </m:r>
                  </m:sub>
                </m:sSub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Pr="00E32C81" w:rsidR="00E32C81" w:rsidP="4C029F3D" w:rsidRDefault="00E32C81" w14:paraId="207039C7" w14:textId="45A636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 Light" w:cs="Times New Roman"/>
                <w:noProof w:val="0"/>
                <w:color w:val="000000" w:themeColor="text1"/>
                <w:lang w:val="en-GB"/>
              </w:rPr>
            </w:pPr>
            <w:r w:rsidRPr="4C029F3D" w:rsidR="00E32C81">
              <w:rPr>
                <w:rFonts w:eastAsia="DengXian Light" w:cs="Times New Roman"/>
                <w:noProof w:val="0"/>
                <w:color w:val="000000" w:themeColor="text1" w:themeTint="FF" w:themeShade="FF"/>
                <w:lang w:val="en-GB"/>
              </w:rPr>
              <w:t xml:space="preserve">Relative </w:t>
            </w:r>
            <w:r w:rsidRPr="4C029F3D" w:rsidR="00E32C81">
              <w:rPr>
                <w:rFonts w:eastAsia="DengXian Light" w:cs="Times New Roman"/>
                <w:noProof w:val="0"/>
                <w:color w:val="000000" w:themeColor="text1" w:themeTint="FF" w:themeShade="FF"/>
                <w:lang w:val="en-GB"/>
              </w:rPr>
              <w:t>difference</w:t>
            </w:r>
          </w:p>
        </w:tc>
      </w:tr>
      <w:tr w:rsidR="00E32C81" w:rsidTr="4C029F3D" w14:paraId="2FF842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Pr="00E32C81" w:rsidR="00E32C81" w:rsidP="4C029F3D" w:rsidRDefault="00E32C81" w14:paraId="6EB57F11" w14:textId="3450A651">
            <w:pPr>
              <w:jc w:val="center"/>
              <w:rPr>
                <w:noProof w:val="0"/>
                <w:color w:val="000000" w:themeColor="text1"/>
                <w:lang w:val="en-GB"/>
              </w:rPr>
            </w:pPr>
            <w:r w:rsidRPr="4C029F3D" w:rsidR="00E32C81">
              <w:rPr>
                <w:noProof w:val="0"/>
                <w:color w:val="000000" w:themeColor="text1" w:themeTint="FF" w:themeShade="FF"/>
                <w:lang w:val="en-GB"/>
              </w:rPr>
              <w:t>TRIPOLI-4</w:t>
            </w:r>
            <w:r w:rsidRPr="4C029F3D" w:rsidR="00E32C81">
              <w:rPr>
                <w:rFonts w:cs="Times New Roman"/>
                <w:noProof w:val="0"/>
                <w:color w:val="000000" w:themeColor="text1" w:themeTint="FF" w:themeShade="FF"/>
                <w:vertAlign w:val="superscript"/>
                <w:lang w:val="en-GB"/>
              </w:rPr>
              <w:t>®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Pr="00E32C81" w:rsidR="00E32C81" w:rsidP="4C029F3D" w:rsidRDefault="00E32C81" w14:paraId="43D8972D" w14:textId="5FD62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  <w:color w:val="000000" w:themeColor="text1"/>
                <w:lang w:val="en-GB"/>
              </w:rPr>
            </w:pPr>
            <w:r w:rsidRPr="4C029F3D" w:rsidR="00E32C81">
              <w:rPr>
                <w:noProof w:val="0"/>
                <w:color w:val="000000" w:themeColor="text1" w:themeTint="FF" w:themeShade="FF"/>
                <w:lang w:val="en-GB"/>
              </w:rPr>
              <w:t>0.99912</w:t>
            </w:r>
            <w:r w:rsidRPr="4C029F3D" w:rsidR="00E32C81">
              <w:rPr>
                <w:noProof w:val="0"/>
                <w:color w:val="000000" w:themeColor="text1" w:themeTint="FF" w:themeShade="FF"/>
                <w:lang w:val="en-GB"/>
              </w:rPr>
              <w:t xml:space="preserve"> </w:t>
            </w:r>
            <w:r w:rsidRPr="4C029F3D" w:rsidR="00E32C81">
              <w:rPr>
                <w:rFonts w:cs="Times New Roman"/>
                <w:noProof w:val="0"/>
                <w:color w:val="000000" w:themeColor="text1" w:themeTint="FF" w:themeShade="FF"/>
                <w:lang w:val="en-GB"/>
              </w:rPr>
              <w:t xml:space="preserve">± </w:t>
            </w:r>
            <w:r w:rsidRPr="4C029F3D" w:rsidR="00E32C81">
              <w:rPr>
                <w:noProof w:val="0"/>
                <w:color w:val="000000" w:themeColor="text1" w:themeTint="FF" w:themeShade="FF"/>
                <w:lang w:val="en-GB"/>
              </w:rPr>
              <w:t xml:space="preserve">8 </w:t>
            </w:r>
            <w:r w:rsidRPr="4C029F3D" w:rsidR="00E32C81">
              <w:rPr>
                <w:noProof w:val="0"/>
                <w:color w:val="000000" w:themeColor="text1" w:themeTint="FF" w:themeShade="FF"/>
                <w:lang w:val="en-GB"/>
              </w:rPr>
              <w:t>pcm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Pr="00E32C81" w:rsidR="00E32C81" w:rsidP="4C029F3D" w:rsidRDefault="00583A39" w14:paraId="672C77AE" w14:textId="41A37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  <w:color w:val="000000" w:themeColor="text1"/>
                <w:lang w:val="en-GB"/>
              </w:rPr>
            </w:pPr>
            <w:r w:rsidRPr="4C029F3D" w:rsidR="00583A39">
              <w:rPr>
                <w:noProof w:val="0"/>
                <w:color w:val="000000" w:themeColor="text1" w:themeTint="FF" w:themeShade="FF"/>
                <w:lang w:val="en-GB"/>
              </w:rPr>
              <w:t>reference</w:t>
            </w:r>
          </w:p>
        </w:tc>
      </w:tr>
      <w:tr w:rsidR="00E32C81" w:rsidTr="4C029F3D" w14:paraId="61D110E7" w14:textId="0C6544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Pr="00281693" w:rsidR="00E32C81" w:rsidP="4C029F3D" w:rsidRDefault="00E32C81" w14:paraId="67347170" w14:textId="73725352">
            <w:pPr>
              <w:jc w:val="center"/>
              <w:rPr>
                <w:noProof w:val="0"/>
                <w:color w:val="000000" w:themeColor="text1"/>
                <w:lang w:val="en-GB"/>
              </w:rPr>
            </w:pPr>
            <w:r w:rsidRPr="4C029F3D" w:rsidR="00E32C81">
              <w:rPr>
                <w:noProof w:val="0"/>
                <w:color w:val="000000" w:themeColor="text1" w:themeTint="FF" w:themeShade="FF"/>
                <w:lang w:val="en-GB"/>
              </w:rPr>
              <w:t>CORE SIM</w:t>
            </w:r>
            <w:r w:rsidRPr="4C029F3D" w:rsidR="00281693">
              <w:rPr>
                <w:noProof w:val="0"/>
                <w:color w:val="000000" w:themeColor="text1" w:themeTint="FF" w:themeShade="FF"/>
                <w:lang w:val="en-GB"/>
              </w:rPr>
              <w:t>+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Pr="008233A2" w:rsidR="00E32C81" w:rsidP="4C029F3D" w:rsidRDefault="00E32C81" w14:paraId="61F0D1C4" w14:textId="3E8F2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 w:val="0"/>
                <w:color w:val="000000" w:themeColor="text1"/>
                <w:lang w:val="en-GB"/>
              </w:rPr>
            </w:pPr>
            <w:r w:rsidRPr="4C029F3D" w:rsidR="00E32C81">
              <w:rPr>
                <w:noProof w:val="0"/>
                <w:color w:val="000000" w:themeColor="text1" w:themeTint="FF" w:themeShade="FF"/>
                <w:lang w:val="en-GB"/>
              </w:rPr>
              <w:t>1.01309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Pr="00E32C81" w:rsidR="00E32C81" w:rsidP="4C029F3D" w:rsidRDefault="00E32C81" w14:paraId="23F0D934" w14:textId="7DBE4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 w:val="0"/>
                <w:color w:val="000000" w:themeColor="text1"/>
                <w:lang w:val="en-GB"/>
              </w:rPr>
            </w:pPr>
            <w:r w:rsidRPr="4C029F3D" w:rsidR="00E32C81">
              <w:rPr>
                <w:noProof w:val="0"/>
                <w:color w:val="000000" w:themeColor="text1" w:themeTint="FF" w:themeShade="FF"/>
                <w:lang w:val="en-GB"/>
              </w:rPr>
              <w:t xml:space="preserve">1398 </w:t>
            </w:r>
            <w:r w:rsidRPr="4C029F3D" w:rsidR="00E32C81">
              <w:rPr>
                <w:noProof w:val="0"/>
                <w:color w:val="000000" w:themeColor="text1" w:themeTint="FF" w:themeShade="FF"/>
                <w:lang w:val="en-GB"/>
              </w:rPr>
              <w:t>pcm</w:t>
            </w:r>
          </w:p>
        </w:tc>
      </w:tr>
      <w:tr w:rsidR="00E32C81" w:rsidTr="4C029F3D" w14:paraId="4EB8836C" w14:textId="69C96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Pr="008233A2" w:rsidR="00E32C81" w:rsidP="4C029F3D" w:rsidRDefault="00E32C81" w14:paraId="2C824E0D" w14:textId="624153A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noProof w:val="0"/>
                <w:color w:val="000000" w:themeColor="text1" w:themeTint="FF" w:themeShade="FF"/>
                <w:lang w:val="en-GB"/>
              </w:rPr>
            </w:pPr>
            <w:r w:rsidRPr="4C029F3D" w:rsidR="0C99A114">
              <w:rPr>
                <w:noProof w:val="0"/>
                <w:color w:val="000000" w:themeColor="text1" w:themeTint="FF" w:themeShade="FF"/>
                <w:lang w:val="en-GB"/>
              </w:rPr>
              <w:t>FEMFFUSION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Pr="008233A2" w:rsidR="00E32C81" w:rsidP="4C029F3D" w:rsidRDefault="00E32C81" w14:paraId="1DF9244A" w14:textId="7B97B56F"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C029F3D" w:rsidR="5B49A5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1.01367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Pr="00E32C81" w:rsidR="00E32C81" w:rsidP="4C029F3D" w:rsidRDefault="00E32C81" w14:paraId="6F672297" w14:textId="7EC2C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  <w:color w:val="000000" w:themeColor="text1"/>
                <w:lang w:val="en-GB"/>
              </w:rPr>
            </w:pPr>
            <w:r w:rsidRPr="4C029F3D" w:rsidR="5B49A599">
              <w:rPr>
                <w:noProof w:val="0"/>
                <w:color w:val="000000" w:themeColor="text1" w:themeTint="FF" w:themeShade="FF"/>
                <w:lang w:val="en-GB"/>
              </w:rPr>
              <w:t>1</w:t>
            </w:r>
            <w:r w:rsidRPr="4C029F3D" w:rsidR="3072B29D">
              <w:rPr>
                <w:noProof w:val="0"/>
                <w:color w:val="000000" w:themeColor="text1" w:themeTint="FF" w:themeShade="FF"/>
                <w:lang w:val="en-GB"/>
              </w:rPr>
              <w:t xml:space="preserve">456 </w:t>
            </w:r>
            <w:r w:rsidRPr="4C029F3D" w:rsidR="5B49A599">
              <w:rPr>
                <w:noProof w:val="0"/>
                <w:color w:val="000000" w:themeColor="text1" w:themeTint="FF" w:themeShade="FF"/>
                <w:lang w:val="en-GB"/>
              </w:rPr>
              <w:t>pcm</w:t>
            </w:r>
          </w:p>
        </w:tc>
      </w:tr>
    </w:tbl>
    <w:p w:rsidR="00E83C13" w:rsidP="4C029F3D" w:rsidRDefault="00E83C13" w14:paraId="6F5BA5A0" w14:textId="7D0FA004">
      <w:pPr>
        <w:rPr>
          <w:noProof w:val="0"/>
          <w:lang w:val="en-GB"/>
        </w:rPr>
      </w:pPr>
    </w:p>
    <w:p w:rsidRPr="000367A7" w:rsidR="000367A7" w:rsidP="4C029F3D" w:rsidRDefault="000367A7" w14:paraId="16CD2B36" w14:textId="68F94B76">
      <w:pPr>
        <w:pStyle w:val="Normal"/>
        <w:rPr>
          <w:noProof w:val="0"/>
          <w:lang w:val="en-GB"/>
        </w:rPr>
      </w:pPr>
      <w:r w:rsidRPr="4C029F3D" w:rsidR="35AD3190">
        <w:rPr>
          <w:noProof w:val="0"/>
          <w:lang w:val="en-GB"/>
        </w:rPr>
        <w:t>There is a mean relative difference between CORESIM+ and FMUFFUSION of 0.01 % for the fast flux and 0.13 % for the thermal flux.</w:t>
      </w:r>
    </w:p>
    <w:p w:rsidR="004B7568" w:rsidP="4C029F3D" w:rsidRDefault="004B7568" w14:paraId="5F542ED5" w14:textId="2492DFEB">
      <w:pPr>
        <w:pStyle w:val="Heading1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2"/>
          <w:szCs w:val="32"/>
          <w:lang w:val="en-GB"/>
        </w:rPr>
      </w:pPr>
      <w:r w:rsidRPr="4C029F3D" w:rsidR="004B7568">
        <w:rPr>
          <w:noProof w:val="0"/>
          <w:lang w:val="en-GB"/>
        </w:rPr>
        <w:t xml:space="preserve">Neutron noise </w:t>
      </w:r>
      <w:r w:rsidRPr="4C029F3D" w:rsidR="004E1587">
        <w:rPr>
          <w:noProof w:val="0"/>
          <w:lang w:val="en-GB"/>
        </w:rPr>
        <w:t>induced by</w:t>
      </w:r>
      <w:r w:rsidRPr="4C029F3D" w:rsidR="004B7568">
        <w:rPr>
          <w:noProof w:val="0"/>
          <w:lang w:val="en-GB"/>
        </w:rPr>
        <w:t xml:space="preserve"> </w:t>
      </w:r>
      <w:r w:rsidRPr="4C029F3D" w:rsidR="2EB8E789">
        <w:rPr>
          <w:noProof w:val="0"/>
          <w:lang w:val="en-GB"/>
        </w:rPr>
        <w:t>a generic vibrating absorber</w:t>
      </w:r>
    </w:p>
    <w:p w:rsidR="4C029F3D" w:rsidP="4C029F3D" w:rsidRDefault="4C029F3D" w14:paraId="65467343" w14:textId="0017E9AB">
      <w:pPr>
        <w:pStyle w:val="Normal"/>
        <w:rPr>
          <w:noProof w:val="0"/>
          <w:lang w:val="en-GB"/>
        </w:rPr>
      </w:pPr>
    </w:p>
    <w:p w:rsidR="64854CB3" w:rsidP="4C029F3D" w:rsidRDefault="64854CB3" w14:paraId="5E0BBE2D" w14:textId="7CE2673A">
      <w:pPr>
        <w:pStyle w:val="Normal"/>
        <w:rPr>
          <w:noProof w:val="0"/>
          <w:lang w:val="en-GB"/>
        </w:rPr>
      </w:pPr>
      <w:r w:rsidRPr="4C029F3D" w:rsidR="64854CB3">
        <w:rPr>
          <w:noProof w:val="0"/>
          <w:lang w:val="en-GB"/>
        </w:rPr>
        <w:t xml:space="preserve">This section represents the results for the case 3 of the benchmark. </w:t>
      </w:r>
      <w:r w:rsidRPr="4C029F3D" w:rsidR="2EB8E789">
        <w:rPr>
          <w:noProof w:val="0"/>
          <w:lang w:val="en-GB"/>
        </w:rPr>
        <w:t xml:space="preserve">Following the </w:t>
      </w:r>
      <w:r w:rsidRPr="4C029F3D" w:rsidR="7EE0675D">
        <w:rPr>
          <w:noProof w:val="0"/>
          <w:lang w:val="en-GB"/>
        </w:rPr>
        <w:t xml:space="preserve">benchmark </w:t>
      </w:r>
      <w:r w:rsidRPr="4C029F3D" w:rsidR="4E8A00C0">
        <w:rPr>
          <w:noProof w:val="0"/>
          <w:lang w:val="en-GB"/>
        </w:rPr>
        <w:t>specifications,</w:t>
      </w:r>
      <w:r w:rsidRPr="4C029F3D" w:rsidR="7EE0675D">
        <w:rPr>
          <w:noProof w:val="0"/>
          <w:lang w:val="en-GB"/>
        </w:rPr>
        <w:t xml:space="preserve"> the change of the cross section is </w:t>
      </w:r>
      <w:proofErr w:type="spellStart"/>
      <w:r w:rsidRPr="4C029F3D" w:rsidR="7EE0675D">
        <w:rPr>
          <w:noProof w:val="0"/>
          <w:lang w:val="en-GB"/>
        </w:rPr>
        <w:t>s</w:t>
      </w:r>
      <w:r w:rsidRPr="4C029F3D" w:rsidR="6A4239F3">
        <w:rPr>
          <w:noProof w:val="0"/>
          <w:lang w:val="en-GB"/>
        </w:rPr>
        <w:t>owhn</w:t>
      </w:r>
      <w:proofErr w:type="spellEnd"/>
      <w:r w:rsidRPr="4C029F3D" w:rsidR="6A4239F3">
        <w:rPr>
          <w:noProof w:val="0"/>
          <w:lang w:val="en-GB"/>
        </w:rPr>
        <w:t xml:space="preserve"> in Table II.</w:t>
      </w:r>
    </w:p>
    <w:p w:rsidR="1EE4350D" w:rsidP="4C029F3D" w:rsidRDefault="1EE4350D" w14:paraId="029A36FE" w14:textId="3D7F792E">
      <w:pPr>
        <w:pStyle w:val="Caption"/>
        <w:jc w:val="center"/>
        <w:rPr>
          <w:noProof w:val="0"/>
          <w:lang w:val="en-GB"/>
        </w:rPr>
      </w:pPr>
      <w:r w:rsidRPr="4C029F3D" w:rsidR="1EE4350D">
        <w:rPr>
          <w:noProof w:val="0"/>
          <w:lang w:val="en-GB"/>
        </w:rPr>
        <w:t xml:space="preserve">Table </w:t>
      </w:r>
      <w:r w:rsidRPr="4C029F3D" w:rsidR="1EE4350D">
        <w:rPr>
          <w:noProof/>
        </w:rPr>
        <w:t>I</w:t>
      </w:r>
      <w:r w:rsidRPr="4C029F3D" w:rsidR="1AAC9C09">
        <w:rPr>
          <w:noProof/>
        </w:rPr>
        <w:t>I:</w:t>
      </w:r>
      <w:r w:rsidRPr="4C029F3D" w:rsidR="1EE4350D">
        <w:rPr>
          <w:noProof w:val="0"/>
          <w:lang w:val="en-GB"/>
        </w:rPr>
        <w:t xml:space="preserve"> </w:t>
      </w:r>
      <w:r w:rsidRPr="4C029F3D" w:rsidR="4F7A96F3">
        <w:rPr>
          <w:noProof w:val="0"/>
          <w:lang w:val="en-GB"/>
        </w:rPr>
        <w:t>Amplitude</w:t>
      </w:r>
      <w:r w:rsidRPr="4C029F3D" w:rsidR="11697AA0">
        <w:rPr>
          <w:noProof w:val="0"/>
          <w:lang w:val="en-GB"/>
        </w:rPr>
        <w:t xml:space="preserve"> of the </w:t>
      </w:r>
      <w:r w:rsidRPr="4C029F3D" w:rsidR="6A503F81">
        <w:rPr>
          <w:noProof w:val="0"/>
          <w:lang w:val="en-GB"/>
        </w:rPr>
        <w:t>cross-section</w:t>
      </w:r>
      <w:r w:rsidRPr="4C029F3D" w:rsidR="11697AA0">
        <w:rPr>
          <w:noProof w:val="0"/>
          <w:lang w:val="en-GB"/>
        </w:rPr>
        <w:t xml:space="preserve"> change</w:t>
      </w:r>
      <w:r w:rsidRPr="4C029F3D" w:rsidR="1EE4350D">
        <w:rPr>
          <w:noProof w:val="0"/>
          <w:lang w:val="en-GB"/>
        </w:rPr>
        <w:t xml:space="preserve">. 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2865"/>
        <w:gridCol w:w="3145"/>
      </w:tblGrid>
      <w:tr w:rsidR="4C029F3D" w:rsidTr="4C029F3D" w14:paraId="32AD2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tcMar/>
          </w:tcPr>
          <w:p w:rsidR="1EE4350D" w:rsidP="4C029F3D" w:rsidRDefault="1EE4350D" w14:paraId="08389F74" w14:textId="612287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C029F3D" w:rsidR="1EE4350D">
              <w:rPr>
                <w:noProof w:val="0"/>
                <w:color w:val="000000" w:themeColor="text1" w:themeTint="FF" w:themeShade="FF"/>
                <w:lang w:val="en-GB"/>
              </w:rPr>
              <w:t>Cross Section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5" w:type="dxa"/>
            <w:tcMar/>
          </w:tcPr>
          <w:p w:rsidR="1EE4350D" w:rsidP="4C029F3D" w:rsidRDefault="1EE4350D" w14:paraId="3901AD72" w14:textId="6DE8427A">
            <w:pPr>
              <w:jc w:val="center"/>
              <w:rPr>
                <w:color w:val="auto"/>
              </w:rPr>
            </w:pPr>
            <w:r w:rsidRPr="4C029F3D" w:rsidR="1EE4350D">
              <w:rPr>
                <w:color w:val="auto"/>
              </w:rPr>
              <w:t>Value</w:t>
            </w:r>
          </w:p>
        </w:tc>
      </w:tr>
      <w:tr w:rsidR="4C029F3D" w:rsidTr="4C029F3D" w14:paraId="736A2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tcMar/>
          </w:tcPr>
          <w:p w:rsidR="4C029F3D" w:rsidP="4C029F3D" w:rsidRDefault="4C029F3D" w14:paraId="70BABEFE" w14:textId="780C7118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C029F3D" w:rsidR="4C029F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δD</w:t>
            </w:r>
            <w:r w:rsidRPr="4C029F3D" w:rsidR="4C029F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vertAlign w:val="subscript"/>
                <w:lang w:val="en-GB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5" w:type="dxa"/>
            <w:tcMar/>
          </w:tcPr>
          <w:p w:rsidR="4C029F3D" w:rsidP="4C029F3D" w:rsidRDefault="4C029F3D" w14:paraId="752F7873" w14:textId="6F374302">
            <w:pPr>
              <w:pStyle w:val="Normal"/>
              <w:jc w:val="center"/>
            </w:pPr>
            <w:r w:rsidRPr="4C029F3D" w:rsidR="4C029F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3.622567e-02</w:t>
            </w:r>
          </w:p>
        </w:tc>
      </w:tr>
      <w:tr w:rsidR="4C029F3D" w:rsidTr="4C029F3D" w14:paraId="25019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tcMar/>
          </w:tcPr>
          <w:p w:rsidR="4C029F3D" w:rsidP="4C029F3D" w:rsidRDefault="4C029F3D" w14:paraId="205BC39F" w14:textId="524B4C0F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C029F3D" w:rsidR="4C029F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δΣ</w:t>
            </w:r>
            <w:r w:rsidRPr="4C029F3D" w:rsidR="4C029F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vertAlign w:val="subscript"/>
                <w:lang w:val="en-GB"/>
              </w:rPr>
              <w:t>a1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5" w:type="dxa"/>
            <w:tcMar/>
          </w:tcPr>
          <w:p w:rsidR="4C029F3D" w:rsidP="4C029F3D" w:rsidRDefault="4C029F3D" w14:paraId="5F5DF185" w14:textId="297C8A75">
            <w:pPr>
              <w:pStyle w:val="Normal"/>
              <w:jc w:val="center"/>
            </w:pPr>
            <w:r w:rsidRPr="4C029F3D" w:rsidR="4C029F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1.546450e-02</w:t>
            </w:r>
          </w:p>
        </w:tc>
      </w:tr>
      <w:tr w:rsidR="4C029F3D" w:rsidTr="4C029F3D" w14:paraId="4B310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tcMar/>
          </w:tcPr>
          <w:p w:rsidR="4C029F3D" w:rsidP="4C029F3D" w:rsidRDefault="4C029F3D" w14:paraId="0FDCA0A7" w14:textId="78CC884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C029F3D" w:rsidR="4C029F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δΣ</w:t>
            </w:r>
            <w:r w:rsidRPr="4C029F3D" w:rsidR="4C029F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vertAlign w:val="subscript"/>
                <w:lang w:val="en-GB"/>
              </w:rPr>
              <w:t>f</w:t>
            </w:r>
            <w:r w:rsidRPr="4C029F3D" w:rsidR="4C029F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vertAlign w:val="subscript"/>
                <w:lang w:val="en-GB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5" w:type="dxa"/>
            <w:tcMar/>
          </w:tcPr>
          <w:p w:rsidR="4C029F3D" w:rsidP="4C029F3D" w:rsidRDefault="4C029F3D" w14:paraId="54546214" w14:textId="7E0F7297">
            <w:pPr>
              <w:jc w:val="center"/>
            </w:pPr>
            <w:r w:rsidRPr="4C029F3D" w:rsidR="4C029F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3.137549e-04</w:t>
            </w:r>
          </w:p>
        </w:tc>
      </w:tr>
      <w:tr w:rsidR="4C029F3D" w:rsidTr="4C029F3D" w14:paraId="31E24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tcMar/>
          </w:tcPr>
          <w:p w:rsidR="4C029F3D" w:rsidP="4C029F3D" w:rsidRDefault="4C029F3D" w14:paraId="091C9BEE" w14:textId="3A3F087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C029F3D" w:rsidR="4C029F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δΣ</w:t>
            </w:r>
            <w:r w:rsidRPr="4C029F3D" w:rsidR="4C029F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vertAlign w:val="subscript"/>
                <w:lang w:val="en-GB"/>
              </w:rPr>
              <w:t>f12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5" w:type="dxa"/>
            <w:tcMar/>
          </w:tcPr>
          <w:p w:rsidR="4C029F3D" w:rsidP="4C029F3D" w:rsidRDefault="4C029F3D" w14:paraId="5FB60FD8" w14:textId="5987F26C">
            <w:pPr>
              <w:pStyle w:val="Normal"/>
              <w:jc w:val="center"/>
            </w:pPr>
            <w:r w:rsidRPr="4C029F3D" w:rsidR="4C029F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2.940014e-05</w:t>
            </w:r>
          </w:p>
        </w:tc>
      </w:tr>
      <w:tr w:rsidR="4C029F3D" w:rsidTr="4C029F3D" w14:paraId="14952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tcMar/>
          </w:tcPr>
          <w:p w:rsidR="4C029F3D" w:rsidP="4C029F3D" w:rsidRDefault="4C029F3D" w14:paraId="34416D48" w14:textId="2045729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C029F3D" w:rsidR="4C029F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δD</w:t>
            </w:r>
            <w:r w:rsidRPr="4C029F3D" w:rsidR="4C029F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vertAlign w:val="subscript"/>
                <w:lang w:val="en-GB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5" w:type="dxa"/>
            <w:tcMar/>
          </w:tcPr>
          <w:p w:rsidR="4C029F3D" w:rsidP="4C029F3D" w:rsidRDefault="4C029F3D" w14:paraId="6D0E5CF9" w14:textId="3811A042">
            <w:pPr>
              <w:pStyle w:val="Normal"/>
              <w:jc w:val="center"/>
            </w:pPr>
            <w:r w:rsidRPr="4C029F3D" w:rsidR="4C029F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2.486140e-02</w:t>
            </w:r>
          </w:p>
        </w:tc>
      </w:tr>
      <w:tr w:rsidR="4C029F3D" w:rsidTr="4C029F3D" w14:paraId="56A74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tcMar/>
          </w:tcPr>
          <w:p w:rsidR="4C029F3D" w:rsidP="4C029F3D" w:rsidRDefault="4C029F3D" w14:paraId="66BD38B2" w14:textId="3155D988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C029F3D" w:rsidR="4C029F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δΣ</w:t>
            </w:r>
            <w:r w:rsidRPr="4C029F3D" w:rsidR="4C029F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vertAlign w:val="subscript"/>
                <w:lang w:val="en-GB"/>
              </w:rPr>
              <w:t>a</w:t>
            </w:r>
            <w:r w:rsidRPr="4C029F3D" w:rsidR="4C029F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vertAlign w:val="subscript"/>
                <w:lang w:val="en-GB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5" w:type="dxa"/>
            <w:tcMar/>
          </w:tcPr>
          <w:p w:rsidR="4C029F3D" w:rsidP="4C029F3D" w:rsidRDefault="4C029F3D" w14:paraId="02C602A4" w14:textId="6D512FC2">
            <w:pPr>
              <w:pStyle w:val="Normal"/>
              <w:jc w:val="center"/>
            </w:pPr>
            <w:r w:rsidRPr="4C029F3D" w:rsidR="4C029F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2.257624e-02</w:t>
            </w:r>
          </w:p>
        </w:tc>
      </w:tr>
      <w:tr w:rsidR="4C029F3D" w:rsidTr="4C029F3D" w14:paraId="1F16C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tcMar/>
          </w:tcPr>
          <w:p w:rsidR="4C029F3D" w:rsidP="4C029F3D" w:rsidRDefault="4C029F3D" w14:paraId="7B1543A1" w14:textId="4A0FE6B0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C029F3D" w:rsidR="4C029F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δΣ</w:t>
            </w:r>
            <w:r w:rsidRPr="4C029F3D" w:rsidR="4C029F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vertAlign w:val="subscript"/>
                <w:lang w:val="en-GB"/>
              </w:rPr>
              <w:t>f</w:t>
            </w:r>
            <w:r w:rsidRPr="4C029F3D" w:rsidR="4C029F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vertAlign w:val="subscript"/>
                <w:lang w:val="en-GB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5" w:type="dxa"/>
            <w:tcMar/>
          </w:tcPr>
          <w:p w:rsidR="4C029F3D" w:rsidP="4C029F3D" w:rsidRDefault="4C029F3D" w14:paraId="5D1DCAF2" w14:textId="1F4FB40A">
            <w:pPr>
              <w:pStyle w:val="Normal"/>
              <w:jc w:val="center"/>
            </w:pPr>
            <w:r w:rsidRPr="4C029F3D" w:rsidR="4C029F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5.778823e-03</w:t>
            </w:r>
          </w:p>
        </w:tc>
      </w:tr>
    </w:tbl>
    <w:p w:rsidR="2EB8E789" w:rsidP="4C029F3D" w:rsidRDefault="2EB8E789" w14:paraId="25CE67B8" w14:textId="0260B1DC">
      <w:pPr>
        <w:pStyle w:val="Normal"/>
      </w:pPr>
      <w:r w:rsidRPr="4C029F3D" w:rsidR="2EB8E78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4C029F3D" w:rsidP="4C029F3D" w:rsidRDefault="4C029F3D" w14:paraId="15966557" w14:textId="4C87893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C029F3D" w:rsidP="4C029F3D" w:rsidRDefault="4C029F3D" w14:paraId="216F038D" w14:textId="3CF4C593">
      <w:pPr>
        <w:pStyle w:val="Normal"/>
        <w:rPr>
          <w:noProof w:val="0"/>
          <w:lang w:val="en-GB"/>
        </w:rPr>
      </w:pPr>
    </w:p>
    <w:p w:rsidR="64D58894" w:rsidP="4C029F3D" w:rsidRDefault="64D58894" w14:paraId="508EF248" w14:textId="0A18F950">
      <w:pPr>
        <w:pStyle w:val="Normal"/>
        <w:rPr>
          <w:noProof w:val="0"/>
          <w:lang w:val="en-GB"/>
        </w:rPr>
      </w:pPr>
      <w:r w:rsidRPr="4C029F3D" w:rsidR="64D58894">
        <w:rPr>
          <w:noProof w:val="0"/>
          <w:lang w:val="en-GB"/>
        </w:rPr>
        <w:t xml:space="preserve">Only the noise at the perturbation frequency (1 Hz) are show. </w:t>
      </w:r>
      <w:r w:rsidRPr="4C029F3D" w:rsidR="004B7568">
        <w:rPr>
          <w:noProof w:val="0"/>
          <w:lang w:val="en-GB"/>
        </w:rPr>
        <w:t xml:space="preserve">The amplitude </w:t>
      </w:r>
      <w:r w:rsidRPr="4C029F3D" w:rsidR="394F2705">
        <w:rPr>
          <w:noProof w:val="0"/>
          <w:lang w:val="en-GB"/>
        </w:rPr>
        <w:t xml:space="preserve">of the neutron noise is </w:t>
      </w:r>
      <w:r w:rsidRPr="4C029F3D" w:rsidR="004B7568">
        <w:rPr>
          <w:noProof w:val="0"/>
          <w:lang w:val="en-GB"/>
        </w:rPr>
        <w:t xml:space="preserve">normalized by the value of the neutron noise in the computational cell with index (1,1). </w:t>
      </w:r>
      <w:r w:rsidRPr="4C029F3D" w:rsidR="00AA0642">
        <w:rPr>
          <w:noProof w:val="0"/>
          <w:lang w:val="en-GB"/>
        </w:rPr>
        <w:t>Th</w:t>
      </w:r>
      <w:r w:rsidRPr="4C029F3D" w:rsidR="00AA0642">
        <w:rPr>
          <w:noProof w:val="0"/>
          <w:lang w:val="en-GB"/>
        </w:rPr>
        <w:t xml:space="preserve">e </w:t>
      </w:r>
      <w:r w:rsidRPr="4C029F3D" w:rsidR="07B6F9EA">
        <w:rPr>
          <w:noProof w:val="0"/>
          <w:lang w:val="en-GB"/>
        </w:rPr>
        <w:t xml:space="preserve">mean </w:t>
      </w:r>
      <w:r w:rsidRPr="4C029F3D" w:rsidR="00AA0642">
        <w:rPr>
          <w:noProof w:val="0"/>
          <w:lang w:val="en-GB"/>
        </w:rPr>
        <w:t>relative differences between</w:t>
      </w:r>
      <w:r w:rsidRPr="4C029F3D" w:rsidR="00AA0642">
        <w:rPr>
          <w:noProof w:val="0"/>
          <w:lang w:val="en-GB"/>
        </w:rPr>
        <w:t xml:space="preserve"> </w:t>
      </w:r>
      <w:r w:rsidRPr="4C029F3D" w:rsidR="13AC8AA2">
        <w:rPr>
          <w:noProof w:val="0"/>
          <w:lang w:val="en-GB"/>
        </w:rPr>
        <w:t xml:space="preserve">FEMFFUSION of </w:t>
      </w:r>
      <w:r w:rsidRPr="4C029F3D" w:rsidR="00AA0642">
        <w:rPr>
          <w:noProof w:val="0"/>
          <w:lang w:val="en-GB"/>
        </w:rPr>
        <w:t>CORE SIM</w:t>
      </w:r>
      <w:r w:rsidRPr="4C029F3D" w:rsidR="00AA0642">
        <w:rPr>
          <w:noProof w:val="0"/>
          <w:lang w:val="en-GB"/>
        </w:rPr>
        <w:t>+</w:t>
      </w:r>
      <w:r w:rsidRPr="4C029F3D" w:rsidR="42256E8A">
        <w:rPr>
          <w:noProof w:val="0"/>
          <w:lang w:val="en-GB"/>
        </w:rPr>
        <w:t xml:space="preserve"> is of 1.03</w:t>
      </w:r>
      <w:r w:rsidRPr="4C029F3D" w:rsidR="4A5E1485">
        <w:rPr>
          <w:noProof w:val="0"/>
          <w:lang w:val="en-GB"/>
        </w:rPr>
        <w:t xml:space="preserve"> </w:t>
      </w:r>
      <w:r w:rsidRPr="4C029F3D" w:rsidR="42256E8A">
        <w:rPr>
          <w:noProof w:val="0"/>
          <w:lang w:val="en-GB"/>
        </w:rPr>
        <w:t>%</w:t>
      </w:r>
      <w:r w:rsidRPr="4C029F3D" w:rsidR="0645BE8D">
        <w:rPr>
          <w:noProof w:val="0"/>
          <w:lang w:val="en-GB"/>
        </w:rPr>
        <w:t xml:space="preserve"> for the noise of the fast flux and 2.59</w:t>
      </w:r>
      <w:r w:rsidRPr="4C029F3D" w:rsidR="7088AEEC">
        <w:rPr>
          <w:noProof w:val="0"/>
          <w:lang w:val="en-GB"/>
        </w:rPr>
        <w:t xml:space="preserve"> </w:t>
      </w:r>
      <w:r w:rsidRPr="4C029F3D" w:rsidR="19DA257D">
        <w:rPr>
          <w:noProof w:val="0"/>
          <w:lang w:val="en-GB"/>
        </w:rPr>
        <w:t>%</w:t>
      </w:r>
      <w:r w:rsidRPr="4C029F3D" w:rsidR="0645BE8D">
        <w:rPr>
          <w:noProof w:val="0"/>
          <w:lang w:val="en-GB"/>
        </w:rPr>
        <w:t xml:space="preserve"> for the thermal flux nois</w:t>
      </w:r>
      <w:r w:rsidRPr="4C029F3D" w:rsidR="7C7ACC1D">
        <w:rPr>
          <w:noProof w:val="0"/>
          <w:lang w:val="en-GB"/>
        </w:rPr>
        <w:t>e</w:t>
      </w:r>
      <w:r w:rsidRPr="4C029F3D" w:rsidR="42256E8A">
        <w:rPr>
          <w:noProof w:val="0"/>
          <w:lang w:val="en-GB"/>
        </w:rPr>
        <w:t xml:space="preserve"> and the noise of the thermal flux</w:t>
      </w:r>
      <w:r w:rsidRPr="4C029F3D" w:rsidR="0F471071">
        <w:rPr>
          <w:noProof w:val="0"/>
          <w:lang w:val="en-GB"/>
        </w:rPr>
        <w:t>.</w:t>
      </w:r>
      <w:r w:rsidRPr="4C029F3D" w:rsidR="10B7A881">
        <w:rPr>
          <w:noProof w:val="0"/>
          <w:lang w:val="en-GB"/>
        </w:rPr>
        <w:t xml:space="preserve"> This difference can be seen at Figure 1. </w:t>
      </w:r>
    </w:p>
    <w:p w:rsidR="4C029F3D" w:rsidP="4C029F3D" w:rsidRDefault="4C029F3D" w14:paraId="47452DFB" w14:textId="3FCB082A">
      <w:pPr>
        <w:pStyle w:val="Normal"/>
        <w:bidi w:val="0"/>
        <w:spacing w:before="0" w:beforeAutospacing="off" w:after="160" w:afterAutospacing="off" w:line="240" w:lineRule="exact"/>
        <w:ind w:left="0" w:right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44546A" w:themeColor="text2" w:themeTint="FF" w:themeShade="FF"/>
          <w:sz w:val="24"/>
          <w:szCs w:val="24"/>
          <w:lang w:val="en-GB"/>
        </w:rPr>
      </w:pPr>
    </w:p>
    <w:p w:rsidR="65DECC80" w:rsidP="4C029F3D" w:rsidRDefault="65DECC80" w14:paraId="6E324998" w14:textId="78A843DB">
      <w:pPr>
        <w:pStyle w:val="Normal"/>
        <w:bidi w:val="0"/>
        <w:spacing w:before="0" w:beforeAutospacing="off" w:after="160" w:afterAutospacing="off" w:line="240" w:lineRule="exact"/>
        <w:ind w:left="0" w:right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44546A" w:themeColor="text2" w:themeTint="FF" w:themeShade="FF"/>
          <w:sz w:val="24"/>
          <w:szCs w:val="24"/>
          <w:lang w:val="en-GB"/>
        </w:rPr>
      </w:pPr>
      <w:r w:rsidR="65DECC80">
        <w:drawing>
          <wp:inline wp14:editId="1D6639B6" wp14:anchorId="02143B0E">
            <wp:extent cx="2743200" cy="2057400"/>
            <wp:effectExtent l="0" t="0" r="0" b="0"/>
            <wp:docPr id="256540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6e9770c25c41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DECC80">
        <w:drawing>
          <wp:inline wp14:editId="23616062" wp14:anchorId="0F0207C8">
            <wp:extent cx="2828925" cy="2121694"/>
            <wp:effectExtent l="0" t="0" r="0" b="0"/>
            <wp:docPr id="1969771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b601fafda744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2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3EB394" w:rsidP="4C029F3D" w:rsidRDefault="2F3EB394" w14:paraId="74F37356" w14:textId="3D1B6D55">
      <w:pPr>
        <w:pStyle w:val="Normal"/>
        <w:bidi w:val="0"/>
        <w:spacing w:before="0" w:beforeAutospacing="off" w:after="160" w:afterAutospacing="off" w:line="240" w:lineRule="exact"/>
        <w:ind w:left="0" w:right="0"/>
        <w:jc w:val="both"/>
        <w:rPr>
          <w:rFonts w:ascii="Times New Roman" w:hAnsi="Times New Roman" w:eastAsia="Times New Roman" w:cs="Times New Roman" w:eastAsiaTheme="minorEastAsia" w:cstheme="minorBidi"/>
          <w:i w:val="1"/>
          <w:iCs w:val="1"/>
          <w:noProof w:val="0"/>
          <w:color w:val="44546A" w:themeColor="text2" w:themeTint="FF" w:themeShade="FF"/>
          <w:sz w:val="24"/>
          <w:szCs w:val="24"/>
          <w:lang w:val="en-GB"/>
        </w:rPr>
      </w:pPr>
      <w:r w:rsidRPr="4C029F3D" w:rsidR="2F3EB394">
        <w:rPr>
          <w:rFonts w:ascii="Times New Roman" w:hAnsi="Times New Roman" w:eastAsia="Times New Roman" w:cs="Times New Roman"/>
          <w:i w:val="1"/>
          <w:iCs w:val="1"/>
          <w:noProof w:val="0"/>
          <w:color w:val="44546A" w:themeColor="text2" w:themeTint="FF" w:themeShade="FF"/>
          <w:sz w:val="24"/>
          <w:szCs w:val="24"/>
          <w:lang w:val="en-GB"/>
        </w:rPr>
        <w:t xml:space="preserve">Figure </w:t>
      </w:r>
      <w:r w:rsidRPr="4C029F3D" w:rsidR="1283A50E">
        <w:rPr>
          <w:rFonts w:ascii="Times New Roman" w:hAnsi="Times New Roman" w:eastAsia="Times New Roman" w:cs="Times New Roman"/>
          <w:i w:val="1"/>
          <w:iCs w:val="1"/>
          <w:noProof w:val="0"/>
          <w:color w:val="44546A" w:themeColor="text2" w:themeTint="FF" w:themeShade="FF"/>
          <w:sz w:val="24"/>
          <w:szCs w:val="24"/>
          <w:lang w:val="en-GB"/>
        </w:rPr>
        <w:t>1</w:t>
      </w:r>
      <w:r w:rsidRPr="4C029F3D" w:rsidR="2F3EB394">
        <w:rPr>
          <w:rFonts w:ascii="Times New Roman" w:hAnsi="Times New Roman" w:eastAsia="Times New Roman" w:cs="Times New Roman" w:eastAsiaTheme="minorEastAsia" w:cstheme="minorBidi"/>
          <w:i w:val="1"/>
          <w:iCs w:val="1"/>
          <w:noProof w:val="0"/>
          <w:color w:val="44546A" w:themeColor="text2" w:themeTint="FF" w:themeShade="FF"/>
          <w:sz w:val="24"/>
          <w:szCs w:val="24"/>
          <w:lang w:val="en-US"/>
        </w:rPr>
        <w:t xml:space="preserve"> </w:t>
      </w:r>
      <w:r w:rsidRPr="4C029F3D" w:rsidR="4EF1C226">
        <w:rPr>
          <w:rFonts w:ascii="Times New Roman" w:hAnsi="Times New Roman" w:eastAsia="Times New Roman" w:cs="Times New Roman" w:eastAsiaTheme="minorEastAsia" w:cstheme="minorBidi"/>
          <w:i w:val="1"/>
          <w:iCs w:val="1"/>
          <w:noProof w:val="0"/>
          <w:color w:val="44546A" w:themeColor="text2" w:themeTint="FF" w:themeShade="FF"/>
          <w:sz w:val="24"/>
          <w:szCs w:val="24"/>
          <w:lang w:val="en-GB"/>
        </w:rPr>
        <w:t>Relative difference between FEMFFUSION and CORESIM+</w:t>
      </w:r>
      <w:r w:rsidRPr="4C029F3D" w:rsidR="3AFBCF62">
        <w:rPr>
          <w:rFonts w:ascii="Times New Roman" w:hAnsi="Times New Roman" w:eastAsia="Times New Roman" w:cs="Times New Roman" w:eastAsiaTheme="minorEastAsia" w:cstheme="minorBidi"/>
          <w:i w:val="1"/>
          <w:iCs w:val="1"/>
          <w:noProof w:val="0"/>
          <w:color w:val="44546A" w:themeColor="text2" w:themeTint="FF" w:themeShade="FF"/>
          <w:sz w:val="24"/>
          <w:szCs w:val="24"/>
          <w:lang w:val="en-GB"/>
        </w:rPr>
        <w:t xml:space="preserve"> noise amplitudes</w:t>
      </w:r>
      <w:r w:rsidRPr="4C029F3D" w:rsidR="517BB7B4">
        <w:rPr>
          <w:rFonts w:ascii="Times New Roman" w:hAnsi="Times New Roman" w:eastAsia="Times New Roman" w:cs="Times New Roman" w:eastAsiaTheme="minorEastAsia" w:cstheme="minorBidi"/>
          <w:i w:val="1"/>
          <w:iCs w:val="1"/>
          <w:noProof w:val="0"/>
          <w:color w:val="44546A" w:themeColor="text2" w:themeTint="FF" w:themeShade="FF"/>
          <w:sz w:val="24"/>
          <w:szCs w:val="24"/>
          <w:lang w:val="en-GB"/>
        </w:rPr>
        <w:t>, for the fast flux noise amplitude (left) and for the thermal flux noise amplitude (right).</w:t>
      </w:r>
    </w:p>
    <w:p w:rsidR="4C029F3D" w:rsidP="4C029F3D" w:rsidRDefault="4C029F3D" w14:paraId="6022C23B" w14:textId="2B560DA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724BC1DC" w:rsidP="4C029F3D" w:rsidRDefault="724BC1DC" w14:paraId="72F70364" w14:textId="1B40D8F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4C029F3D" w:rsidR="724BC1D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The phase difference is smaller of only 0.71 % for both the fast and thermal flux noises. </w:t>
      </w:r>
    </w:p>
    <w:p w:rsidR="4C029F3D" w:rsidP="4C029F3D" w:rsidRDefault="4C029F3D" w14:paraId="5F9D40D4" w14:textId="6E9D9989">
      <w:pPr>
        <w:pStyle w:val="Normal"/>
        <w:rPr>
          <w:noProof w:val="0"/>
          <w:lang w:val="en-GB"/>
        </w:rPr>
      </w:pPr>
    </w:p>
    <w:p w:rsidR="004B7568" w:rsidP="4C029F3D" w:rsidRDefault="004B7568" w14:paraId="15D81402" w14:textId="77777777">
      <w:pPr>
        <w:pStyle w:val="Normal"/>
        <w:rPr>
          <w:noProof w:val="0"/>
          <w:lang w:val="en-GB"/>
        </w:rPr>
      </w:pPr>
    </w:p>
    <w:sectPr w:rsidRPr="000367A7" w:rsidR="000367A7">
      <w:footerReference w:type="default" r:id="rId39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1A0" w:rsidP="00950D24" w:rsidRDefault="00AE61A0" w14:paraId="41D3726B" w14:textId="77777777">
      <w:pPr>
        <w:spacing w:after="0" w:line="240" w:lineRule="auto"/>
      </w:pPr>
      <w:r>
        <w:separator/>
      </w:r>
    </w:p>
  </w:endnote>
  <w:endnote w:type="continuationSeparator" w:id="0">
    <w:p w:rsidR="00AE61A0" w:rsidP="00950D24" w:rsidRDefault="00AE61A0" w14:paraId="136F95A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27578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0D24" w:rsidRDefault="00950D24" w14:paraId="69075F4B" w14:textId="51B95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50D24" w:rsidRDefault="00950D24" w14:paraId="4E07408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1A0" w:rsidP="00950D24" w:rsidRDefault="00AE61A0" w14:paraId="714FAAFB" w14:textId="77777777">
      <w:pPr>
        <w:spacing w:after="0" w:line="240" w:lineRule="auto"/>
      </w:pPr>
      <w:r>
        <w:separator/>
      </w:r>
    </w:p>
  </w:footnote>
  <w:footnote w:type="continuationSeparator" w:id="0">
    <w:p w:rsidR="00AE61A0" w:rsidP="00950D24" w:rsidRDefault="00AE61A0" w14:paraId="1A34F4D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17368F0"/>
    <w:multiLevelType w:val="hybridMultilevel"/>
    <w:tmpl w:val="55ACF982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C50D1"/>
    <w:multiLevelType w:val="hybridMultilevel"/>
    <w:tmpl w:val="308CF19E"/>
    <w:lvl w:ilvl="0">
      <w:start w:val="1"/>
      <w:numFmt w:val="upperRoman"/>
      <w:lvlText w:val="%1."/>
      <w:lvlJc w:val="left"/>
      <w:pPr>
        <w:ind w:left="1080" w:hanging="720"/>
      </w:pPr>
      <w:rPr/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90175"/>
    <w:multiLevelType w:val="hybridMultilevel"/>
    <w:tmpl w:val="C16E3F1C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AA"/>
    <w:rsid w:val="0000167C"/>
    <w:rsid w:val="000029FF"/>
    <w:rsid w:val="000367A7"/>
    <w:rsid w:val="000552A5"/>
    <w:rsid w:val="000A6426"/>
    <w:rsid w:val="000E1636"/>
    <w:rsid w:val="000F6D3E"/>
    <w:rsid w:val="001F2505"/>
    <w:rsid w:val="0028107F"/>
    <w:rsid w:val="00281693"/>
    <w:rsid w:val="002B0495"/>
    <w:rsid w:val="002C57AC"/>
    <w:rsid w:val="002F79C1"/>
    <w:rsid w:val="00342CBC"/>
    <w:rsid w:val="003676E9"/>
    <w:rsid w:val="00386584"/>
    <w:rsid w:val="003A5713"/>
    <w:rsid w:val="003B63D0"/>
    <w:rsid w:val="00415950"/>
    <w:rsid w:val="00470654"/>
    <w:rsid w:val="00475E63"/>
    <w:rsid w:val="004A2A93"/>
    <w:rsid w:val="004A7255"/>
    <w:rsid w:val="004B6DF1"/>
    <w:rsid w:val="004B7568"/>
    <w:rsid w:val="004C0135"/>
    <w:rsid w:val="004D7930"/>
    <w:rsid w:val="004E1587"/>
    <w:rsid w:val="0055167C"/>
    <w:rsid w:val="00583A39"/>
    <w:rsid w:val="005B5386"/>
    <w:rsid w:val="005E3B37"/>
    <w:rsid w:val="005E687A"/>
    <w:rsid w:val="00601432"/>
    <w:rsid w:val="006171E5"/>
    <w:rsid w:val="00652A77"/>
    <w:rsid w:val="00653A1F"/>
    <w:rsid w:val="006A0A2C"/>
    <w:rsid w:val="006B7390"/>
    <w:rsid w:val="006D3DF3"/>
    <w:rsid w:val="0073778F"/>
    <w:rsid w:val="00781988"/>
    <w:rsid w:val="007C3ED9"/>
    <w:rsid w:val="007E6F41"/>
    <w:rsid w:val="008167A5"/>
    <w:rsid w:val="008233A2"/>
    <w:rsid w:val="00872FF6"/>
    <w:rsid w:val="008B369B"/>
    <w:rsid w:val="008C7058"/>
    <w:rsid w:val="008D2E3E"/>
    <w:rsid w:val="009043D6"/>
    <w:rsid w:val="00914F41"/>
    <w:rsid w:val="00950D24"/>
    <w:rsid w:val="009565F1"/>
    <w:rsid w:val="00993DAA"/>
    <w:rsid w:val="00997089"/>
    <w:rsid w:val="009C0AE3"/>
    <w:rsid w:val="009F0457"/>
    <w:rsid w:val="009F4A1F"/>
    <w:rsid w:val="00A20ABF"/>
    <w:rsid w:val="00A27B63"/>
    <w:rsid w:val="00A31E74"/>
    <w:rsid w:val="00A54E69"/>
    <w:rsid w:val="00A77807"/>
    <w:rsid w:val="00AA0642"/>
    <w:rsid w:val="00AB3D18"/>
    <w:rsid w:val="00AC74FF"/>
    <w:rsid w:val="00AD6644"/>
    <w:rsid w:val="00AE61A0"/>
    <w:rsid w:val="00B32FF2"/>
    <w:rsid w:val="00B80F94"/>
    <w:rsid w:val="00BA05A3"/>
    <w:rsid w:val="00BE69FC"/>
    <w:rsid w:val="00C15EAF"/>
    <w:rsid w:val="00C16835"/>
    <w:rsid w:val="00C26D5D"/>
    <w:rsid w:val="00C43081"/>
    <w:rsid w:val="00C470F8"/>
    <w:rsid w:val="00C66FF8"/>
    <w:rsid w:val="00C7052A"/>
    <w:rsid w:val="00CA0462"/>
    <w:rsid w:val="00CB68D8"/>
    <w:rsid w:val="00CD5837"/>
    <w:rsid w:val="00CF6FC5"/>
    <w:rsid w:val="00D6401C"/>
    <w:rsid w:val="00D92FF4"/>
    <w:rsid w:val="00DBCE67"/>
    <w:rsid w:val="00DE642F"/>
    <w:rsid w:val="00E03B44"/>
    <w:rsid w:val="00E14A2F"/>
    <w:rsid w:val="00E32C81"/>
    <w:rsid w:val="00E4265F"/>
    <w:rsid w:val="00E837E2"/>
    <w:rsid w:val="00E83C13"/>
    <w:rsid w:val="00E97EFF"/>
    <w:rsid w:val="00EA4EDA"/>
    <w:rsid w:val="00EC3BAD"/>
    <w:rsid w:val="00EC661A"/>
    <w:rsid w:val="00F058B8"/>
    <w:rsid w:val="00F066EA"/>
    <w:rsid w:val="00F23CBD"/>
    <w:rsid w:val="00F50164"/>
    <w:rsid w:val="00F801C9"/>
    <w:rsid w:val="00FD4851"/>
    <w:rsid w:val="00FD7D75"/>
    <w:rsid w:val="00FF568C"/>
    <w:rsid w:val="0290AE40"/>
    <w:rsid w:val="02F0994A"/>
    <w:rsid w:val="05315FC5"/>
    <w:rsid w:val="06173284"/>
    <w:rsid w:val="0645BE8D"/>
    <w:rsid w:val="06FB92B3"/>
    <w:rsid w:val="07303454"/>
    <w:rsid w:val="07B6F9EA"/>
    <w:rsid w:val="08188C14"/>
    <w:rsid w:val="087BBB36"/>
    <w:rsid w:val="08CB71A8"/>
    <w:rsid w:val="097CC15C"/>
    <w:rsid w:val="0B59CA8E"/>
    <w:rsid w:val="0C4E49F0"/>
    <w:rsid w:val="0C99A114"/>
    <w:rsid w:val="0CBA3B03"/>
    <w:rsid w:val="0D8CAB06"/>
    <w:rsid w:val="0E5EF20C"/>
    <w:rsid w:val="0F335483"/>
    <w:rsid w:val="0F471071"/>
    <w:rsid w:val="10B7A881"/>
    <w:rsid w:val="11042927"/>
    <w:rsid w:val="11262A07"/>
    <w:rsid w:val="115A6801"/>
    <w:rsid w:val="11697AA0"/>
    <w:rsid w:val="1283A50E"/>
    <w:rsid w:val="12F7A6FB"/>
    <w:rsid w:val="13AC8AA2"/>
    <w:rsid w:val="183F6D74"/>
    <w:rsid w:val="18C715EE"/>
    <w:rsid w:val="19BDD43F"/>
    <w:rsid w:val="19DA257D"/>
    <w:rsid w:val="1AAC9C09"/>
    <w:rsid w:val="1BA755FA"/>
    <w:rsid w:val="1E78B578"/>
    <w:rsid w:val="1EE4350D"/>
    <w:rsid w:val="1F37A5EC"/>
    <w:rsid w:val="222702B6"/>
    <w:rsid w:val="22BB59A7"/>
    <w:rsid w:val="2348B551"/>
    <w:rsid w:val="253BAC3A"/>
    <w:rsid w:val="264DB47F"/>
    <w:rsid w:val="26552277"/>
    <w:rsid w:val="2733EBAA"/>
    <w:rsid w:val="28C931EC"/>
    <w:rsid w:val="297A79F2"/>
    <w:rsid w:val="2D838284"/>
    <w:rsid w:val="2EB8E789"/>
    <w:rsid w:val="2F253567"/>
    <w:rsid w:val="2F3EB394"/>
    <w:rsid w:val="3072B29D"/>
    <w:rsid w:val="31338FAF"/>
    <w:rsid w:val="32FA1F12"/>
    <w:rsid w:val="33066C53"/>
    <w:rsid w:val="35AD3190"/>
    <w:rsid w:val="3671512C"/>
    <w:rsid w:val="394F2705"/>
    <w:rsid w:val="3AFBCF62"/>
    <w:rsid w:val="3BBABA96"/>
    <w:rsid w:val="3CC5295E"/>
    <w:rsid w:val="3E09D391"/>
    <w:rsid w:val="410EF13D"/>
    <w:rsid w:val="42256E8A"/>
    <w:rsid w:val="428B27F0"/>
    <w:rsid w:val="445FCC1F"/>
    <w:rsid w:val="476B1FB9"/>
    <w:rsid w:val="47DF5BA5"/>
    <w:rsid w:val="497BD2B0"/>
    <w:rsid w:val="49B67BE3"/>
    <w:rsid w:val="4A5E1485"/>
    <w:rsid w:val="4B2CEB62"/>
    <w:rsid w:val="4C029F3D"/>
    <w:rsid w:val="4CCE4E68"/>
    <w:rsid w:val="4D46EA4B"/>
    <w:rsid w:val="4E521404"/>
    <w:rsid w:val="4E601388"/>
    <w:rsid w:val="4E8A00C0"/>
    <w:rsid w:val="4EF1C226"/>
    <w:rsid w:val="4F7A96F3"/>
    <w:rsid w:val="5169DA7A"/>
    <w:rsid w:val="517BB7B4"/>
    <w:rsid w:val="52E438EF"/>
    <w:rsid w:val="54DE44C0"/>
    <w:rsid w:val="54E8C901"/>
    <w:rsid w:val="552631BB"/>
    <w:rsid w:val="56F4977E"/>
    <w:rsid w:val="5873E48C"/>
    <w:rsid w:val="5B49A599"/>
    <w:rsid w:val="5B9DEA4C"/>
    <w:rsid w:val="5FDA9370"/>
    <w:rsid w:val="64854CB3"/>
    <w:rsid w:val="64D58894"/>
    <w:rsid w:val="65A5402D"/>
    <w:rsid w:val="65DECC80"/>
    <w:rsid w:val="66D8271A"/>
    <w:rsid w:val="674499A5"/>
    <w:rsid w:val="68A90212"/>
    <w:rsid w:val="68AD023F"/>
    <w:rsid w:val="6A4239F3"/>
    <w:rsid w:val="6A503F81"/>
    <w:rsid w:val="6B77CD35"/>
    <w:rsid w:val="6B8D6CDC"/>
    <w:rsid w:val="6C29C0CB"/>
    <w:rsid w:val="6C83DCF4"/>
    <w:rsid w:val="6D1168D1"/>
    <w:rsid w:val="6D29B7BA"/>
    <w:rsid w:val="6D2D575D"/>
    <w:rsid w:val="6E768D24"/>
    <w:rsid w:val="6E85D50C"/>
    <w:rsid w:val="6F89E4ED"/>
    <w:rsid w:val="6FB98213"/>
    <w:rsid w:val="7088AEEC"/>
    <w:rsid w:val="70EF1E64"/>
    <w:rsid w:val="7167E51F"/>
    <w:rsid w:val="72460EF1"/>
    <w:rsid w:val="724BC1DC"/>
    <w:rsid w:val="72682C41"/>
    <w:rsid w:val="747A95AD"/>
    <w:rsid w:val="747C206B"/>
    <w:rsid w:val="75531F4A"/>
    <w:rsid w:val="77624812"/>
    <w:rsid w:val="78132102"/>
    <w:rsid w:val="78674A54"/>
    <w:rsid w:val="7A353A5D"/>
    <w:rsid w:val="7AC56E9B"/>
    <w:rsid w:val="7C7ACC1D"/>
    <w:rsid w:val="7CDB0DAC"/>
    <w:rsid w:val="7DCF2451"/>
    <w:rsid w:val="7EE0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FE17"/>
  <w15:chartTrackingRefBased/>
  <w15:docId w15:val="{9934F042-8854-4DE1-8B85-C086EC8B72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x-non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687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66E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3D6"/>
    <w:pPr>
      <w:keepNext/>
      <w:keepLines/>
      <w:spacing w:before="40" w:after="120"/>
      <w:outlineLvl w:val="1"/>
    </w:pPr>
    <w:rPr>
      <w:rFonts w:eastAsiaTheme="majorEastAsia" w:cstheme="majorBidi"/>
      <w:b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066EA"/>
    <w:rPr>
      <w:rFonts w:ascii="Times New Roman" w:hAnsi="Times New Roman" w:eastAsiaTheme="majorEastAsia" w:cstheme="majorBidi"/>
      <w:b/>
      <w:color w:val="000000" w:themeColor="tex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B63D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A0462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70F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470F8"/>
    <w:rPr>
      <w:rFonts w:ascii="Times New Roman" w:hAnsi="Times New Roman" w:eastAsiaTheme="majorEastAsia" w:cstheme="majorBidi"/>
      <w:spacing w:val="-10"/>
      <w:kern w:val="28"/>
      <w:sz w:val="3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9043D6"/>
    <w:rPr>
      <w:rFonts w:ascii="Times New Roman" w:hAnsi="Times New Roman" w:eastAsiaTheme="majorEastAsia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8233A2"/>
    <w:pPr>
      <w:ind w:left="720"/>
      <w:contextualSpacing/>
    </w:pPr>
  </w:style>
  <w:style w:type="table" w:styleId="TableGrid">
    <w:name w:val="Table Grid"/>
    <w:basedOn w:val="TableNormal"/>
    <w:uiPriority w:val="39"/>
    <w:rsid w:val="008233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3">
    <w:name w:val="Grid Table 4 Accent 3"/>
    <w:basedOn w:val="TableNormal"/>
    <w:uiPriority w:val="49"/>
    <w:rsid w:val="008233A2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3A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83A3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50D24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0D2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50D24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0D2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39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41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40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styles" Target="styles.xml" Id="rId3" /><Relationship Type="http://schemas.openxmlformats.org/officeDocument/2006/relationships/glossaryDocument" Target="/word/glossary/document.xml" Id="Rb045093018394277" /><Relationship Type="http://schemas.openxmlformats.org/officeDocument/2006/relationships/image" Target="/media/image10.png" Id="R1c6e9770c25c41e5" /><Relationship Type="http://schemas.openxmlformats.org/officeDocument/2006/relationships/image" Target="/media/image11.png" Id="R7cb601fafda7441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64c8b-1d11-4707-a886-0421484a2ed0}"/>
      </w:docPartPr>
      <w:docPartBody>
        <w:p w14:paraId="5BCAD63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2B80D-F9E6-4FAD-A004-02DD0341F1F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Huaiqian Yi</dc:creator>
  <keywords/>
  <dc:description/>
  <lastModifiedBy>Antoni Vidal Ferràndiz</lastModifiedBy>
  <revision>48</revision>
  <dcterms:created xsi:type="dcterms:W3CDTF">2020-02-26T07:25:00.0000000Z</dcterms:created>
  <dcterms:modified xsi:type="dcterms:W3CDTF">2020-04-05T11:54:50.5300619Z</dcterms:modified>
</coreProperties>
</file>