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TruDash Architecture</w:t>
      </w:r>
    </w:p>
    <w:p>
      <w:pPr>
        <w:jc w:val="center"/>
      </w:pPr>
      <w:r>
        <w:rPr>
          <w:b/>
        </w:rPr>
        <w:t>Wroughton &amp; Wichelstowe FC</w:t>
        <w:br/>
        <w:t>Version 1.3 · 23 September 2026</w:t>
      </w:r>
    </w:p>
    <w:p>
      <w:r>
        <w:t>TruDash is WWFC's trustee governance cockpit. It consolidates governance oversight while leaving authoritative records in the systems best suited to hold them. SharePoint remains the controlled-document repository; TeamFeePay remains the membership/payment source; TruDash presents trustee-level information and will progressively hold governance-native records.</w:t>
      </w:r>
    </w:p>
    <w:p>
      <w:pPr>
        <w:pStyle w:val="Heading1"/>
      </w:pPr>
      <w:r>
        <w:t>1. Architecture principles</w:t>
      </w:r>
    </w:p>
    <w:p>
      <w:pPr>
        <w:pStyle w:val="ListBullet"/>
      </w:pPr>
      <w:r>
        <w:t>Source systems remain authoritative; TruDash does not become a second document or membership database.</w:t>
      </w:r>
    </w:p>
    <w:p>
      <w:pPr>
        <w:pStyle w:val="ListBullet"/>
      </w:pPr>
      <w:r>
        <w:t>The browser receives only aggregate or governance information required by trustees.</w:t>
      </w:r>
    </w:p>
    <w:p>
      <w:pPr>
        <w:pStyle w:val="ListBullet"/>
      </w:pPr>
      <w:r>
        <w:t>Trustee authentication is separate from the backend identity used to access Microsoft Graph.</w:t>
      </w:r>
    </w:p>
    <w:p>
      <w:pPr>
        <w:pStyle w:val="ListBullet"/>
      </w:pPr>
      <w:r>
        <w:t>Missing SharePoint metadata is surfaced as a governance exception rather than silently substituted.</w:t>
      </w:r>
    </w:p>
    <w:p>
      <w:pPr>
        <w:pStyle w:val="ListBullet"/>
      </w:pPr>
      <w:r>
        <w:t>Sensitive safeguarding and raw TeamFeePay personal data remain outside general dashboard APIs.</w:t>
      </w:r>
    </w:p>
    <w:p>
      <w:pPr>
        <w:pStyle w:val="ListBullet"/>
      </w:pPr>
      <w:r>
        <w:t>Changes flow through develop → Railway Development → test → main → Railway Production.</w:t>
      </w:r>
    </w:p>
    <w:p>
      <w:pPr>
        <w:pStyle w:val="Heading1"/>
      </w:pPr>
      <w:r>
        <w:t>2. Logical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Layer</w:t>
            </w:r>
          </w:p>
        </w:tc>
        <w:tc>
          <w:tcPr>
            <w:tcW w:type="dxa" w:w="3360"/>
          </w:tcPr>
          <w:p>
            <w:r>
              <w:t>Technology / Service</w:t>
            </w:r>
          </w:p>
        </w:tc>
        <w:tc>
          <w:tcPr>
            <w:tcW w:type="dxa" w:w="3360"/>
          </w:tcPr>
          <w:p>
            <w:r>
              <w:t>Responsibility</w:t>
            </w:r>
          </w:p>
        </w:tc>
      </w:tr>
      <w:tr>
        <w:tc>
          <w:tcPr>
            <w:tcW w:type="dxa" w:w="3360"/>
          </w:tcPr>
          <w:p>
            <w:r>
              <w:t>UI</w:t>
            </w:r>
          </w:p>
        </w:tc>
        <w:tc>
          <w:tcPr>
            <w:tcW w:type="dxa" w:w="3360"/>
          </w:tcPr>
          <w:p>
            <w:r>
              <w:t>React + Vite</w:t>
            </w:r>
          </w:p>
        </w:tc>
        <w:tc>
          <w:tcPr>
            <w:tcW w:type="dxa" w:w="3360"/>
          </w:tcPr>
          <w:p>
            <w:r>
              <w:t>Responsive trustee dashboard, modules, tables and KPIs.</w:t>
            </w:r>
          </w:p>
        </w:tc>
      </w:tr>
      <w:tr>
        <w:tc>
          <w:tcPr>
            <w:tcW w:type="dxa" w:w="3360"/>
          </w:tcPr>
          <w:p>
            <w:r>
              <w:t>Web/API</w:t>
            </w:r>
          </w:p>
        </w:tc>
        <w:tc>
          <w:tcPr>
            <w:tcW w:type="dxa" w:w="3360"/>
          </w:tcPr>
          <w:p>
            <w:r>
              <w:t>Node.js + Express</w:t>
            </w:r>
          </w:p>
        </w:tc>
        <w:tc>
          <w:tcPr>
            <w:tcW w:type="dxa" w:w="3360"/>
          </w:tcPr>
          <w:p>
            <w:r>
              <w:t>Authentication, protected APIs, aggregation and frontend serving.</w:t>
            </w:r>
          </w:p>
        </w:tc>
      </w:tr>
      <w:tr>
        <w:tc>
          <w:tcPr>
            <w:tcW w:type="dxa" w:w="3360"/>
          </w:tcPr>
          <w:p>
            <w:r>
              <w:t>Authentication</w:t>
            </w:r>
          </w:p>
        </w:tc>
        <w:tc>
          <w:tcPr>
            <w:tcW w:type="dxa" w:w="3360"/>
          </w:tcPr>
          <w:p>
            <w:r>
              <w:t>Microsoft Entra ID + MSAL</w:t>
            </w:r>
          </w:p>
        </w:tc>
        <w:tc>
          <w:tcPr>
            <w:tcW w:type="dxa" w:w="3360"/>
          </w:tcPr>
          <w:p>
            <w:r>
              <w:t>Trustee identity and sign-in.</w:t>
            </w:r>
          </w:p>
        </w:tc>
      </w:tr>
      <w:tr>
        <w:tc>
          <w:tcPr>
            <w:tcW w:type="dxa" w:w="3360"/>
          </w:tcPr>
          <w:p>
            <w:r>
              <w:t>Session</w:t>
            </w:r>
          </w:p>
        </w:tc>
        <w:tc>
          <w:tcPr>
            <w:tcW w:type="dxa" w:w="3360"/>
          </w:tcPr>
          <w:p>
            <w:r>
              <w:t>express-session</w:t>
            </w:r>
          </w:p>
        </w:tc>
        <w:tc>
          <w:tcPr>
            <w:tcW w:type="dxa" w:w="3360"/>
          </w:tcPr>
          <w:p>
            <w:r>
              <w:t>Authenticated server-side browser session.</w:t>
            </w:r>
          </w:p>
        </w:tc>
      </w:tr>
      <w:tr>
        <w:tc>
          <w:tcPr>
            <w:tcW w:type="dxa" w:w="3360"/>
          </w:tcPr>
          <w:p>
            <w:r>
              <w:t>Integration</w:t>
            </w:r>
          </w:p>
        </w:tc>
        <w:tc>
          <w:tcPr>
            <w:tcW w:type="dxa" w:w="3360"/>
          </w:tcPr>
          <w:p>
            <w:r>
              <w:t>Microsoft Graph</w:t>
            </w:r>
          </w:p>
        </w:tc>
        <w:tc>
          <w:tcPr>
            <w:tcW w:type="dxa" w:w="3360"/>
          </w:tcPr>
          <w:p>
            <w:r>
              <w:t>Read-only access to the approved Trustees SharePoint site.</w:t>
            </w:r>
          </w:p>
        </w:tc>
      </w:tr>
      <w:tr>
        <w:tc>
          <w:tcPr>
            <w:tcW w:type="dxa" w:w="3360"/>
          </w:tcPr>
          <w:p>
            <w:r>
              <w:t>Documents</w:t>
            </w:r>
          </w:p>
        </w:tc>
        <w:tc>
          <w:tcPr>
            <w:tcW w:type="dxa" w:w="3360"/>
          </w:tcPr>
          <w:p>
            <w:r>
              <w:t>SharePoint</w:t>
            </w:r>
          </w:p>
        </w:tc>
        <w:tc>
          <w:tcPr>
            <w:tcW w:type="dxa" w:w="3360"/>
          </w:tcPr>
          <w:p>
            <w:r>
              <w:t>Authoritative controlled documents and metadata.</w:t>
            </w:r>
          </w:p>
        </w:tc>
      </w:tr>
      <w:tr>
        <w:tc>
          <w:tcPr>
            <w:tcW w:type="dxa" w:w="3360"/>
          </w:tcPr>
          <w:p>
            <w:r>
              <w:t>Operational reports</w:t>
            </w:r>
          </w:p>
        </w:tc>
        <w:tc>
          <w:tcPr>
            <w:tcW w:type="dxa" w:w="3360"/>
          </w:tcPr>
          <w:p>
            <w:r>
              <w:t>TeamFeePay XLSX in SharePoint</w:t>
            </w:r>
          </w:p>
        </w:tc>
        <w:tc>
          <w:tcPr>
            <w:tcW w:type="dxa" w:w="3360"/>
          </w:tcPr>
          <w:p>
            <w:r>
              <w:t>Membership, payments, teams, registration and agreements source snapshots.</w:t>
            </w:r>
          </w:p>
        </w:tc>
      </w:tr>
      <w:tr>
        <w:tc>
          <w:tcPr>
            <w:tcW w:type="dxa" w:w="3360"/>
          </w:tcPr>
          <w:p>
            <w:r>
              <w:t>Hosting</w:t>
            </w:r>
          </w:p>
        </w:tc>
        <w:tc>
          <w:tcPr>
            <w:tcW w:type="dxa" w:w="3360"/>
          </w:tcPr>
          <w:p>
            <w:r>
              <w:t>Railway</w:t>
            </w:r>
          </w:p>
        </w:tc>
        <w:tc>
          <w:tcPr>
            <w:tcW w:type="dxa" w:w="3360"/>
          </w:tcPr>
          <w:p>
            <w:r>
              <w:t>Separate Development and Production deployments.</w:t>
            </w:r>
          </w:p>
        </w:tc>
      </w:tr>
      <w:tr>
        <w:tc>
          <w:tcPr>
            <w:tcW w:type="dxa" w:w="3360"/>
          </w:tcPr>
          <w:p>
            <w:r>
              <w:t>Source control</w:t>
            </w:r>
          </w:p>
        </w:tc>
        <w:tc>
          <w:tcPr>
            <w:tcW w:type="dxa" w:w="3360"/>
          </w:tcPr>
          <w:p>
            <w:r>
              <w:t>GitHub</w:t>
            </w:r>
          </w:p>
        </w:tc>
        <w:tc>
          <w:tcPr>
            <w:tcW w:type="dxa" w:w="3360"/>
          </w:tcPr>
          <w:p>
            <w:r>
              <w:t>Zoomin10/Trudash; develop and main branches.</w:t>
            </w:r>
          </w:p>
        </w:tc>
      </w:tr>
      <w:tr>
        <w:tc>
          <w:tcPr>
            <w:tcW w:type="dxa" w:w="3360"/>
          </w:tcPr>
          <w:p>
            <w:r>
              <w:t>Future persistence</w:t>
            </w:r>
          </w:p>
        </w:tc>
        <w:tc>
          <w:tcPr>
            <w:tcW w:type="dxa" w:w="3360"/>
          </w:tcPr>
          <w:p>
            <w:r>
              <w:t>PostgreSQL + Prisma</w:t>
            </w:r>
          </w:p>
        </w:tc>
        <w:tc>
          <w:tcPr>
            <w:tcW w:type="dxa" w:w="3360"/>
          </w:tcPr>
          <w:p>
            <w:r>
              <w:t>Governance-native risks, decisions, complaints, actions and finance records.</w:t>
            </w:r>
          </w:p>
        </w:tc>
      </w:tr>
    </w:tbl>
    <w:p>
      <w:pPr>
        <w:pStyle w:val="Heading1"/>
      </w:pPr>
      <w:r>
        <w:t>3. Authentication and trust boundaries</w:t>
      </w:r>
    </w:p>
    <w:p>
      <w:pPr>
        <w:jc w:val="center"/>
      </w:pPr>
      <w:r>
        <w:rPr>
          <w:b/>
        </w:rPr>
        <w:t>Trustee → Entra ID → Express session → protected API → app-only Graph identity → SharePoint</w:t>
      </w:r>
    </w:p>
    <w:p>
      <w:r>
        <w:t>Entra ID proves the identity of the trustee using TruDash. The backend then uses its own application credentials for SharePoint. User authentication and Graph data access are deliberately separate.</w:t>
      </w:r>
    </w:p>
    <w:p>
      <w:pPr>
        <w:pStyle w:val="ListBullet"/>
      </w:pPr>
      <w:r>
        <w:t>Graph permission uses Sites.Selected with read-only access to the Trustees site.</w:t>
      </w:r>
    </w:p>
    <w:p>
      <w:pPr>
        <w:pStyle w:val="ListBullet"/>
      </w:pPr>
      <w:r>
        <w:t>Secrets are environment variables and must not be committed to Git.</w:t>
      </w:r>
    </w:p>
    <w:p>
      <w:pPr>
        <w:pStyle w:val="ListBullet"/>
      </w:pPr>
      <w:r>
        <w:t>Protected API routes require an authenticated Express session.</w:t>
      </w:r>
    </w:p>
    <w:p>
      <w:pPr>
        <w:pStyle w:val="ListBullet"/>
      </w:pPr>
      <w:r>
        <w:t>Explicit trustee allow-list/role authorization remains a future hardening item.</w:t>
      </w:r>
    </w:p>
    <w:p>
      <w:pPr>
        <w:pStyle w:val="ListBullet"/>
      </w:pPr>
      <w:r>
        <w:t>Persistent production-grade session storage should replace the default in-memory store as the platform matures.</w:t>
      </w:r>
    </w:p>
    <w:p>
      <w:pPr>
        <w:pStyle w:val="Heading1"/>
      </w:pPr>
      <w:r>
        <w:t>4. SharePoint and document control</w:t>
      </w:r>
    </w:p>
    <w:p>
      <w:r>
        <w:t>SharePoint is the system of record for controlled documents and the landing area for TeamFeePay exports. TruDash uses Microsoft Graph to retrieve metadata and download reports for server-side aggregation.</w:t>
      </w:r>
    </w:p>
    <w:p>
      <w:pPr>
        <w:pStyle w:val="Heading2"/>
      </w:pPr>
      <w:r>
        <w:t>Controlled-document rules</w:t>
      </w:r>
    </w:p>
    <w:p>
      <w:pPr>
        <w:pStyle w:val="ListBullet"/>
      </w:pPr>
      <w:r>
        <w:t>Governance Category</w:t>
      </w:r>
    </w:p>
    <w:p>
      <w:pPr>
        <w:pStyle w:val="ListBullet"/>
      </w:pPr>
      <w:r>
        <w:t>Document Owner</w:t>
      </w:r>
    </w:p>
    <w:p>
      <w:pPr>
        <w:pStyle w:val="ListBullet"/>
      </w:pPr>
      <w:r>
        <w:t>Controlled Version</w:t>
      </w:r>
    </w:p>
    <w:p>
      <w:pPr>
        <w:pStyle w:val="ListBullet"/>
      </w:pPr>
      <w:r>
        <w:t>Approved Date</w:t>
      </w:r>
    </w:p>
    <w:p>
      <w:pPr>
        <w:pStyle w:val="ListBullet"/>
      </w:pPr>
      <w:r>
        <w:t>Next Review Date</w:t>
      </w:r>
    </w:p>
    <w:p>
      <w:pPr>
        <w:pStyle w:val="ListBullet"/>
      </w:pPr>
      <w:r>
        <w:t>Document Status</w:t>
      </w:r>
    </w:p>
    <w:p>
      <w:pPr>
        <w:pStyle w:val="ListBullet"/>
      </w:pPr>
      <w:r>
        <w:t>Review Requirement</w:t>
      </w:r>
    </w:p>
    <w:p>
      <w:r>
        <w:t>Governance Category, Document Owner, Controlled Version and Document Status are core requirements. Approved, Superseded and Archived documents also require Approved Date. Next Review Date is required for those statuses unless Review Requirement is explicitly Not Required. Draft and Under Review documents can omit approval/review dates.</w:t>
      </w:r>
    </w:p>
    <w:p>
      <w:pPr>
        <w:pStyle w:val="Heading1"/>
      </w:pPr>
      <w:r>
        <w:t>5. TeamFeePay ingestion</w:t>
      </w:r>
    </w:p>
    <w:tbl>
      <w:tblPr>
        <w:tblStyle w:val="TableGrid"/>
        <w:tblW w:type="auto" w:w="0"/>
        <w:tblLook w:firstColumn="1" w:firstRow="1" w:lastColumn="0" w:lastRow="0" w:noHBand="0" w:noVBand="1" w:val="04A0"/>
      </w:tblPr>
      <w:tblGrid>
        <w:gridCol w:w="3360"/>
        <w:gridCol w:w="3360"/>
        <w:gridCol w:w="3360"/>
      </w:tblGrid>
      <w:tr>
        <w:tc>
          <w:tcPr>
            <w:tcW w:type="dxa" w:w="3360"/>
          </w:tcPr>
          <w:p>
            <w:r>
              <w:t>Report</w:t>
            </w:r>
          </w:p>
        </w:tc>
        <w:tc>
          <w:tcPr>
            <w:tcW w:type="dxa" w:w="3360"/>
          </w:tcPr>
          <w:p>
            <w:r>
              <w:t>Selection behaviour</w:t>
            </w:r>
          </w:p>
        </w:tc>
        <w:tc>
          <w:tcPr>
            <w:tcW w:type="dxa" w:w="3360"/>
          </w:tcPr>
          <w:p>
            <w:r>
              <w:t>Purpose</w:t>
            </w:r>
          </w:p>
        </w:tc>
      </w:tr>
      <w:tr>
        <w:tc>
          <w:tcPr>
            <w:tcW w:type="dxa" w:w="3360"/>
          </w:tcPr>
          <w:p>
            <w:r>
              <w:t>Season Report</w:t>
            </w:r>
          </w:p>
        </w:tc>
        <w:tc>
          <w:tcPr>
            <w:tcW w:type="dxa" w:w="3360"/>
          </w:tcPr>
          <w:p>
            <w:r>
              <w:t>All matching Season_Report files are sorted by SharePoint lastModifiedDateTime; newest is used.</w:t>
            </w:r>
          </w:p>
        </w:tc>
        <w:tc>
          <w:tcPr>
            <w:tcW w:type="dxa" w:w="3360"/>
          </w:tcPr>
          <w:p>
            <w:r>
              <w:t>Current membership, teams, payment snapshot and registration.</w:t>
            </w:r>
          </w:p>
        </w:tc>
      </w:tr>
      <w:tr>
        <w:tc>
          <w:tcPr>
            <w:tcW w:type="dxa" w:w="3360"/>
          </w:tcPr>
          <w:p>
            <w:r>
              <w:t>Monthly By Team</w:t>
            </w:r>
          </w:p>
        </w:tc>
        <w:tc>
          <w:tcPr>
            <w:tcW w:type="dxa" w:w="3360"/>
          </w:tcPr>
          <w:p>
            <w:r>
              <w:t>Monthly files are retained and aggregated.</w:t>
            </w:r>
          </w:p>
        </w:tc>
        <w:tc>
          <w:tcPr>
            <w:tcW w:type="dxa" w:w="3360"/>
          </w:tcPr>
          <w:p>
            <w:r>
              <w:t>FYTD subscription collection performance and monthly history.</w:t>
            </w:r>
          </w:p>
        </w:tc>
      </w:tr>
      <w:tr>
        <w:tc>
          <w:tcPr>
            <w:tcW w:type="dxa" w:w="3360"/>
          </w:tcPr>
          <w:p>
            <w:r>
              <w:t>Agreements</w:t>
            </w:r>
          </w:p>
        </w:tc>
        <w:tc>
          <w:tcPr>
            <w:tcW w:type="dxa" w:w="3360"/>
          </w:tcPr>
          <w:p>
            <w:r>
              <w:t>Latest applicable report is used.</w:t>
            </w:r>
          </w:p>
        </w:tc>
        <w:tc>
          <w:tcPr>
            <w:tcW w:type="dxa" w:w="3360"/>
          </w:tcPr>
          <w:p>
            <w:r>
              <w:t>Aggregate controlled-document signing completion.</w:t>
            </w:r>
          </w:p>
        </w:tc>
      </w:tr>
    </w:tbl>
    <w:p>
      <w:r>
        <w:t>Old Season Reports may remain as historical snapshots. Monthly reports should remain because each contributes to FYTD history. Scheduled future collections are not overdue debt. Workbook processing occurs server-side and frontend APIs expose aggregates rather than the broad personal-data columns in source exports.</w:t>
      </w:r>
    </w:p>
    <w:p>
      <w:pPr>
        <w:pStyle w:val="Heading1"/>
      </w:pPr>
      <w:r>
        <w:t>6. Frontend</w:t>
      </w:r>
    </w:p>
    <w:p>
      <w:r>
        <w:t>The React frontend checks authentication before protected data is loaded. It supports desktop and compact mobile navigation/table layouts.</w:t>
      </w:r>
    </w:p>
    <w:p>
      <w:pPr>
        <w:pStyle w:val="ListBullet"/>
      </w:pPr>
      <w:r>
        <w:t>Overview KPIs: Subscription Collection, Members, Document Control and Club Welfare.</w:t>
      </w:r>
    </w:p>
    <w:p>
      <w:pPr>
        <w:pStyle w:val="ListBullet"/>
      </w:pPr>
      <w:r>
        <w:t>Members tabs: Overview, Teams, Payments, Registration and Agreements.</w:t>
      </w:r>
    </w:p>
    <w:p>
      <w:pPr>
        <w:pStyle w:val="ListBullet"/>
      </w:pPr>
      <w:r>
        <w:t>Payments combines current snapshot metrics with FYTD collection history.</w:t>
      </w:r>
    </w:p>
    <w:p>
      <w:pPr>
        <w:pStyle w:val="ListBullet"/>
      </w:pPr>
      <w:r>
        <w:t>Teams uses the latest Season Report and a dedicated responsive mobile presentation.</w:t>
      </w:r>
    </w:p>
    <w:p>
      <w:pPr>
        <w:pStyle w:val="ListBullet"/>
      </w:pPr>
      <w:r>
        <w:t>Club Welfare is reserved but not yet connected to a live source.</w:t>
      </w:r>
    </w:p>
    <w:p>
      <w:pPr>
        <w:pStyle w:val="Heading1"/>
      </w:pPr>
      <w:r>
        <w:t>7. Backend</w:t>
      </w:r>
    </w:p>
    <w:p>
      <w:r>
        <w:t>The Express backend owns authentication, API protection, Microsoft Graph access and data aggregation. services/sharepointService.js resolves SharePoint resources, extracts document metadata, downloads TeamFeePay workbooks, selects the newest Season Report and builds trustee-level summaries.</w:t>
      </w:r>
    </w:p>
    <w:p>
      <w:pPr>
        <w:pStyle w:val="Heading1"/>
      </w:pPr>
      <w:r>
        <w:t>8. Data ownership</w:t>
      </w:r>
    </w:p>
    <w:tbl>
      <w:tblPr>
        <w:tblStyle w:val="TableGrid"/>
        <w:tblW w:type="auto" w:w="0"/>
        <w:tblLook w:firstColumn="1" w:firstRow="1" w:lastColumn="0" w:lastRow="0" w:noHBand="0" w:noVBand="1" w:val="04A0"/>
      </w:tblPr>
      <w:tblGrid>
        <w:gridCol w:w="3360"/>
        <w:gridCol w:w="3360"/>
        <w:gridCol w:w="3360"/>
      </w:tblGrid>
      <w:tr>
        <w:tc>
          <w:tcPr>
            <w:tcW w:type="dxa" w:w="3360"/>
          </w:tcPr>
          <w:p>
            <w:r>
              <w:t>Data</w:t>
            </w:r>
          </w:p>
        </w:tc>
        <w:tc>
          <w:tcPr>
            <w:tcW w:type="dxa" w:w="3360"/>
          </w:tcPr>
          <w:p>
            <w:r>
              <w:t>Authoritative source</w:t>
            </w:r>
          </w:p>
        </w:tc>
        <w:tc>
          <w:tcPr>
            <w:tcW w:type="dxa" w:w="3360"/>
          </w:tcPr>
          <w:p>
            <w:r>
              <w:t>TruDash treatment</w:t>
            </w:r>
          </w:p>
        </w:tc>
      </w:tr>
      <w:tr>
        <w:tc>
          <w:tcPr>
            <w:tcW w:type="dxa" w:w="3360"/>
          </w:tcPr>
          <w:p>
            <w:r>
              <w:t>Controlled documents</w:t>
            </w:r>
          </w:p>
        </w:tc>
        <w:tc>
          <w:tcPr>
            <w:tcW w:type="dxa" w:w="3360"/>
          </w:tcPr>
          <w:p>
            <w:r>
              <w:t>SharePoint</w:t>
            </w:r>
          </w:p>
        </w:tc>
        <w:tc>
          <w:tcPr>
            <w:tcW w:type="dxa" w:w="3360"/>
          </w:tcPr>
          <w:p>
            <w:r>
              <w:t>Read metadata/references; do not duplicate document binaries.</w:t>
            </w:r>
          </w:p>
        </w:tc>
      </w:tr>
      <w:tr>
        <w:tc>
          <w:tcPr>
            <w:tcW w:type="dxa" w:w="3360"/>
          </w:tcPr>
          <w:p>
            <w:r>
              <w:t>Membership/payment operations</w:t>
            </w:r>
          </w:p>
        </w:tc>
        <w:tc>
          <w:tcPr>
            <w:tcW w:type="dxa" w:w="3360"/>
          </w:tcPr>
          <w:p>
            <w:r>
              <w:t>TeamFeePay reports</w:t>
            </w:r>
          </w:p>
        </w:tc>
        <w:tc>
          <w:tcPr>
            <w:tcW w:type="dxa" w:w="3360"/>
          </w:tcPr>
          <w:p>
            <w:r>
              <w:t>Read snapshots; expose aggregates only.</w:t>
            </w:r>
          </w:p>
        </w:tc>
      </w:tr>
      <w:tr>
        <w:tc>
          <w:tcPr>
            <w:tcW w:type="dxa" w:w="3360"/>
          </w:tcPr>
          <w:p>
            <w:r>
              <w:t>Trustee identity</w:t>
            </w:r>
          </w:p>
        </w:tc>
        <w:tc>
          <w:tcPr>
            <w:tcW w:type="dxa" w:w="3360"/>
          </w:tcPr>
          <w:p>
            <w:r>
              <w:t>Microsoft Entra ID</w:t>
            </w:r>
          </w:p>
        </w:tc>
        <w:tc>
          <w:tcPr>
            <w:tcW w:type="dxa" w:w="3360"/>
          </w:tcPr>
          <w:p>
            <w:r>
              <w:t>Authenticate and establish session.</w:t>
            </w:r>
          </w:p>
        </w:tc>
      </w:tr>
      <w:tr>
        <w:tc>
          <w:tcPr>
            <w:tcW w:type="dxa" w:w="3360"/>
          </w:tcPr>
          <w:p>
            <w:r>
              <w:t>Risks/decisions/actions/complaints</w:t>
            </w:r>
          </w:p>
        </w:tc>
        <w:tc>
          <w:tcPr>
            <w:tcW w:type="dxa" w:w="3360"/>
          </w:tcPr>
          <w:p>
            <w:r>
              <w:t>Future TruDash database</w:t>
            </w:r>
          </w:p>
        </w:tc>
        <w:tc>
          <w:tcPr>
            <w:tcW w:type="dxa" w:w="3360"/>
          </w:tcPr>
          <w:p>
            <w:r>
              <w:t>Structured governance-native records.</w:t>
            </w:r>
          </w:p>
        </w:tc>
      </w:tr>
      <w:tr>
        <w:tc>
          <w:tcPr>
            <w:tcW w:type="dxa" w:w="3360"/>
          </w:tcPr>
          <w:p>
            <w:r>
              <w:t>Detailed safeguarding cases</w:t>
            </w:r>
          </w:p>
        </w:tc>
        <w:tc>
          <w:tcPr>
            <w:tcW w:type="dxa" w:w="3360"/>
          </w:tcPr>
          <w:p>
            <w:r>
              <w:t>Restricted safeguarding process/system</w:t>
            </w:r>
          </w:p>
        </w:tc>
        <w:tc>
          <w:tcPr>
            <w:tcW w:type="dxa" w:w="3360"/>
          </w:tcPr>
          <w:p>
            <w:r>
              <w:t>Only appropriate aggregate indicators on the general dashboard.</w:t>
            </w:r>
          </w:p>
        </w:tc>
      </w:tr>
    </w:tbl>
    <w:p>
      <w:pPr>
        <w:pStyle w:val="Heading1"/>
      </w:pPr>
      <w:r>
        <w:t>9. Deployment</w:t>
      </w:r>
    </w:p>
    <w:p>
      <w:r>
        <w:t>GitHub is the source-control system. develop deploys to Railway Development for testing; approved changes merge to main and deploy to Railway Production. Express serves the Vite production build from frontend/dist. API and authentication routes must remain before the SPA fallback.</w:t>
      </w:r>
    </w:p>
    <w:p>
      <w:pPr>
        <w:pStyle w:val="ListBullet"/>
      </w:pPr>
      <w:r>
        <w:t>Environment-specific APP_BASE_URL and SESSION_SECRET values are held in Railway.</w:t>
      </w:r>
    </w:p>
    <w:p>
      <w:pPr>
        <w:pStyle w:val="ListBullet"/>
      </w:pPr>
      <w:r>
        <w:t>The application is tested through Railway rather than localhost.</w:t>
      </w:r>
    </w:p>
    <w:p>
      <w:pPr>
        <w:pStyle w:val="ListBullet"/>
      </w:pPr>
      <w:r>
        <w:t>Secrets remain outside source control.</w:t>
      </w:r>
    </w:p>
    <w:p>
      <w:pPr>
        <w:pStyle w:val="Heading1"/>
      </w:pPr>
      <w:r>
        <w:t>10. Security and planned hardening</w:t>
      </w:r>
    </w:p>
    <w:p>
      <w:pPr>
        <w:pStyle w:val="ListBullet"/>
      </w:pPr>
      <w:r>
        <w:t>Entra authentication is active.</w:t>
      </w:r>
    </w:p>
    <w:p>
      <w:pPr>
        <w:pStyle w:val="ListBullet"/>
      </w:pPr>
      <w:r>
        <w:t>Graph access is read-only and restricted to the Trustees SharePoint site.</w:t>
      </w:r>
    </w:p>
    <w:p>
      <w:pPr>
        <w:pStyle w:val="ListBullet"/>
      </w:pPr>
      <w:r>
        <w:t>Raw TeamFeePay personal data should not reach frontend APIs.</w:t>
      </w:r>
    </w:p>
    <w:p>
      <w:pPr>
        <w:pStyle w:val="ListBullet"/>
      </w:pPr>
      <w:r>
        <w:t>Detailed safeguarding data remains restricted.</w:t>
      </w:r>
    </w:p>
    <w:p>
      <w:pPr>
        <w:pStyle w:val="ListBullet"/>
      </w:pPr>
      <w:r>
        <w:t>Add explicit application authorization for permitted trustees/roles.</w:t>
      </w:r>
    </w:p>
    <w:p>
      <w:pPr>
        <w:pStyle w:val="ListBullet"/>
      </w:pPr>
      <w:r>
        <w:t>Add persistent session storage.</w:t>
      </w:r>
    </w:p>
    <w:p>
      <w:pPr>
        <w:pStyle w:val="ListBullet"/>
      </w:pPr>
      <w:r>
        <w:t>Introduce database audit/RBAC controls before write-capable governance modules.</w:t>
      </w:r>
    </w:p>
    <w:p>
      <w:pPr>
        <w:pStyle w:val="ListBullet"/>
      </w:pPr>
      <w:r>
        <w:t>Retain least-privilege Microsoft Graph permissions.</w:t>
      </w:r>
    </w:p>
    <w:p>
      <w:pPr>
        <w:pStyle w:val="Heading1"/>
      </w:pPr>
      <w:r>
        <w:t>11. Planned evolution</w:t>
      </w:r>
    </w:p>
    <w:p>
      <w:pPr>
        <w:pStyle w:val="ListBullet"/>
      </w:pPr>
      <w:r>
        <w:t>Club Welfare governance indicators</w:t>
      </w:r>
    </w:p>
    <w:p>
      <w:pPr>
        <w:pStyle w:val="ListBullet"/>
      </w:pPr>
      <w:r>
        <w:t>Finance Overview and reserves/compliance monitoring</w:t>
      </w:r>
    </w:p>
    <w:p>
      <w:pPr>
        <w:pStyle w:val="ListBullet"/>
      </w:pPr>
      <w:r>
        <w:t>Risk Register</w:t>
      </w:r>
    </w:p>
    <w:p>
      <w:pPr>
        <w:pStyle w:val="ListBullet"/>
      </w:pPr>
      <w:r>
        <w:t>Trustee decisions and actions</w:t>
      </w:r>
    </w:p>
    <w:p>
      <w:pPr>
        <w:pStyle w:val="ListBullet"/>
      </w:pPr>
      <w:r>
        <w:t>Compliance calendar and conflicts register</w:t>
      </w:r>
    </w:p>
    <w:p>
      <w:pPr>
        <w:pStyle w:val="ListBullet"/>
      </w:pPr>
      <w:r>
        <w:t>Grants and strategy tracking</w:t>
      </w:r>
    </w:p>
    <w:p>
      <w:pPr>
        <w:pStyle w:val="ListBullet"/>
      </w:pPr>
      <w:r>
        <w:t>PostgreSQL/Prisma governance persistence</w:t>
      </w:r>
    </w:p>
    <w:p>
      <w:pPr>
        <w:pStyle w:val="ListBullet"/>
      </w:pPr>
      <w:r>
        <w:t>Trustee Governance Pack generation</w:t>
      </w:r>
    </w:p>
    <w:p>
      <w:pPr>
        <w:pStyle w:val="Heading1"/>
      </w:pPr>
      <w:r>
        <w:t>12. Architecture summary</w:t>
      </w:r>
    </w:p>
    <w:p>
      <w:r>
        <w:t>TruDash is deliberately an integration and governance layer. Entra ID authenticates trustees, Express protects and aggregates data, Microsoft Graph reads the restricted Trustees SharePoint site, SharePoint remains the document system of record, and TeamFeePay remains the operational membership/payment source. Future PostgreSQL persistence should be reserved for records TruDash itself owns.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WWFC TruDash Architecture · v1.3 · 23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