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5C8DA" w14:textId="2C63F145" w:rsidR="00282F1D" w:rsidRPr="004A26D8" w:rsidRDefault="0093271E">
      <w:pPr>
        <w:rPr>
          <w:rFonts w:ascii="Arial" w:hAnsi="Arial" w:cs="Arial"/>
          <w:b/>
          <w:bCs/>
          <w:sz w:val="32"/>
          <w:szCs w:val="32"/>
        </w:rPr>
      </w:pPr>
      <w:r w:rsidRPr="004A26D8">
        <w:rPr>
          <w:rFonts w:ascii="Arial" w:hAnsi="Arial" w:cs="Arial"/>
          <w:b/>
          <w:bCs/>
          <w:sz w:val="32"/>
          <w:szCs w:val="32"/>
        </w:rPr>
        <w:t xml:space="preserve">Project Planning </w:t>
      </w:r>
    </w:p>
    <w:p w14:paraId="341E374A" w14:textId="77777777" w:rsidR="00613B5C" w:rsidRDefault="00613B5C">
      <w:pPr>
        <w:rPr>
          <w:rFonts w:ascii="Arial" w:hAnsi="Arial" w:cs="Arial"/>
        </w:rPr>
      </w:pPr>
    </w:p>
    <w:p w14:paraId="75D922A6" w14:textId="77777777" w:rsidR="00613B5C" w:rsidRPr="00613B5C" w:rsidRDefault="00613B5C" w:rsidP="00613B5C">
      <w:pPr>
        <w:rPr>
          <w:rFonts w:ascii="Arial" w:hAnsi="Arial" w:cs="Arial"/>
        </w:rPr>
      </w:pPr>
      <w:r w:rsidRPr="004A26D8">
        <w:rPr>
          <w:rFonts w:ascii="Arial" w:hAnsi="Arial" w:cs="Arial"/>
          <w:b/>
          <w:bCs/>
        </w:rPr>
        <w:t xml:space="preserve">Sampling Strategy </w:t>
      </w:r>
    </w:p>
    <w:p w14:paraId="0D6D2D2A" w14:textId="77777777" w:rsidR="00613B5C" w:rsidRDefault="00613B5C" w:rsidP="00613B5C">
      <w:pPr>
        <w:rPr>
          <w:rFonts w:ascii="Arial" w:hAnsi="Arial" w:cs="Arial"/>
        </w:rPr>
      </w:pPr>
      <w:r>
        <w:rPr>
          <w:rFonts w:ascii="Arial" w:hAnsi="Arial" w:cs="Arial"/>
        </w:rPr>
        <w:t xml:space="preserve">Full latitudinal sampling will be pushed off till Summer 2024. This summer, we’ll focus on obtaining three sets of samples (early season, peak temperatures, and end of season) for five sites (Key Largo, Chesapeake Bay, Long Island Sound, Maine, and Shediac Bay). These three samples will help us decide when to sample next year by helping characterize: </w:t>
      </w:r>
    </w:p>
    <w:p w14:paraId="7228006D" w14:textId="58BC45A6" w:rsidR="00613B5C" w:rsidRPr="00613B5C" w:rsidRDefault="00613B5C" w:rsidP="00613B5C">
      <w:pPr>
        <w:pStyle w:val="ListParagraph"/>
        <w:numPr>
          <w:ilvl w:val="0"/>
          <w:numId w:val="1"/>
        </w:numPr>
        <w:rPr>
          <w:rFonts w:ascii="Arial" w:hAnsi="Arial" w:cs="Arial"/>
        </w:rPr>
      </w:pPr>
      <w:r w:rsidRPr="00613B5C">
        <w:rPr>
          <w:rFonts w:ascii="Arial" w:hAnsi="Arial" w:cs="Arial"/>
        </w:rPr>
        <w:t>Allele frequencies at the beginning of the season (for populations that are not present year round: CT, ME, and SB). This may help address where the animals that re-start the population each year come from (</w:t>
      </w:r>
      <w:r w:rsidR="008C5D99" w:rsidRPr="00613B5C">
        <w:rPr>
          <w:rFonts w:ascii="Arial" w:hAnsi="Arial" w:cs="Arial"/>
        </w:rPr>
        <w:t>large, admixed</w:t>
      </w:r>
      <w:r w:rsidRPr="00613B5C">
        <w:rPr>
          <w:rFonts w:ascii="Arial" w:hAnsi="Arial" w:cs="Arial"/>
        </w:rPr>
        <w:t xml:space="preserve"> shelf population, egg bank, etc.). </w:t>
      </w:r>
    </w:p>
    <w:p w14:paraId="03A54A1D" w14:textId="1C4CC0BB" w:rsidR="00613B5C" w:rsidRDefault="00613B5C" w:rsidP="00613B5C">
      <w:pPr>
        <w:pStyle w:val="ListParagraph"/>
        <w:numPr>
          <w:ilvl w:val="0"/>
          <w:numId w:val="1"/>
        </w:numPr>
        <w:rPr>
          <w:rFonts w:ascii="Arial" w:hAnsi="Arial" w:cs="Arial"/>
        </w:rPr>
      </w:pPr>
      <w:r>
        <w:rPr>
          <w:rFonts w:ascii="Arial" w:hAnsi="Arial" w:cs="Arial"/>
        </w:rPr>
        <w:t xml:space="preserve">How allele frequencies change after the warmest time of year. </w:t>
      </w:r>
    </w:p>
    <w:p w14:paraId="7718FF64" w14:textId="60D9CA25" w:rsidR="00613B5C" w:rsidRPr="00976774" w:rsidRDefault="00613B5C" w:rsidP="00613B5C">
      <w:pPr>
        <w:pStyle w:val="ListParagraph"/>
        <w:numPr>
          <w:ilvl w:val="0"/>
          <w:numId w:val="1"/>
        </w:numPr>
        <w:rPr>
          <w:rFonts w:ascii="Arial" w:hAnsi="Arial" w:cs="Arial"/>
        </w:rPr>
      </w:pPr>
      <w:r>
        <w:rPr>
          <w:rFonts w:ascii="Arial" w:hAnsi="Arial" w:cs="Arial"/>
        </w:rPr>
        <w:t>How allele frequencies change after water temperatures drop and (assumed) selection by high temperature is relaxed.</w:t>
      </w:r>
    </w:p>
    <w:p w14:paraId="7F13A462" w14:textId="77777777" w:rsidR="00613B5C" w:rsidRDefault="00613B5C">
      <w:pPr>
        <w:rPr>
          <w:rFonts w:ascii="Arial" w:hAnsi="Arial" w:cs="Arial"/>
        </w:rPr>
      </w:pPr>
    </w:p>
    <w:p w14:paraId="72E1E8B0" w14:textId="2A58D419" w:rsidR="00312BC2" w:rsidRDefault="00312BC2">
      <w:pPr>
        <w:rPr>
          <w:rFonts w:ascii="Arial" w:hAnsi="Arial" w:cs="Arial"/>
        </w:rPr>
      </w:pPr>
      <w:r>
        <w:rPr>
          <w:rFonts w:ascii="Arial" w:hAnsi="Arial" w:cs="Arial"/>
        </w:rPr>
        <w:t xml:space="preserve">Proposed sampling details are included below. </w:t>
      </w:r>
      <w:r w:rsidR="007D75C9">
        <w:rPr>
          <w:rFonts w:ascii="Arial" w:hAnsi="Arial" w:cs="Arial"/>
        </w:rPr>
        <w:t xml:space="preserve">Early samples are based on either past work (the Key Largo sample), how quickly I can arrange travel (for the Chesapeake and LIS sites), and the emergence of Acartia tonsa (the Maine and Shediac sites). Peak sample dates are based on when each site reaches maximum temperatures (occurs slightly earlier at lower latitudes), and aim to catch the population just before water temperatures begin to decrease. Late samples aim to catch the population just before it drops out of the community (LIS, Maine, and Shediac), or after water temperatures drop substantially (Key Largo and Chesapeake). </w:t>
      </w:r>
    </w:p>
    <w:p w14:paraId="1CFAA26E" w14:textId="77777777" w:rsidR="0064381F" w:rsidRDefault="0064381F">
      <w:pPr>
        <w:rPr>
          <w:rFonts w:ascii="Arial" w:hAnsi="Arial" w:cs="Arial"/>
        </w:rPr>
      </w:pPr>
    </w:p>
    <w:p w14:paraId="2DCF3C42" w14:textId="77777777" w:rsidR="00312BC2" w:rsidRDefault="00312BC2">
      <w:pPr>
        <w:rPr>
          <w:rFonts w:ascii="Arial" w:hAnsi="Arial" w:cs="Arial"/>
        </w:rPr>
      </w:pPr>
    </w:p>
    <w:tbl>
      <w:tblPr>
        <w:tblStyle w:val="TableGrid"/>
        <w:tblW w:w="0" w:type="auto"/>
        <w:tblLook w:val="04A0" w:firstRow="1" w:lastRow="0" w:firstColumn="1" w:lastColumn="0" w:noHBand="0" w:noVBand="1"/>
      </w:tblPr>
      <w:tblGrid>
        <w:gridCol w:w="2245"/>
        <w:gridCol w:w="2790"/>
        <w:gridCol w:w="1440"/>
        <w:gridCol w:w="1440"/>
        <w:gridCol w:w="1435"/>
      </w:tblGrid>
      <w:tr w:rsidR="00312BC2" w14:paraId="270F7E9C" w14:textId="77777777" w:rsidTr="00E936B4">
        <w:trPr>
          <w:trHeight w:val="656"/>
        </w:trPr>
        <w:tc>
          <w:tcPr>
            <w:tcW w:w="2245" w:type="dxa"/>
          </w:tcPr>
          <w:p w14:paraId="4FDFA6FD" w14:textId="05417341" w:rsidR="00312BC2" w:rsidRPr="00C54575" w:rsidRDefault="00312BC2" w:rsidP="00312BC2">
            <w:pPr>
              <w:jc w:val="center"/>
              <w:rPr>
                <w:rFonts w:ascii="Arial" w:hAnsi="Arial" w:cs="Arial"/>
                <w:b/>
                <w:bCs/>
              </w:rPr>
            </w:pPr>
            <w:r w:rsidRPr="00C54575">
              <w:rPr>
                <w:rFonts w:ascii="Arial" w:hAnsi="Arial" w:cs="Arial"/>
                <w:b/>
                <w:bCs/>
              </w:rPr>
              <w:t>Site</w:t>
            </w:r>
          </w:p>
        </w:tc>
        <w:tc>
          <w:tcPr>
            <w:tcW w:w="2790" w:type="dxa"/>
          </w:tcPr>
          <w:p w14:paraId="52161917" w14:textId="341D8057" w:rsidR="00312BC2" w:rsidRPr="00C54575" w:rsidRDefault="00312BC2" w:rsidP="00312BC2">
            <w:pPr>
              <w:jc w:val="center"/>
              <w:rPr>
                <w:rFonts w:ascii="Arial" w:hAnsi="Arial" w:cs="Arial"/>
                <w:b/>
                <w:bCs/>
              </w:rPr>
            </w:pPr>
            <w:r w:rsidRPr="00C54575">
              <w:rPr>
                <w:rFonts w:ascii="Arial" w:hAnsi="Arial" w:cs="Arial"/>
                <w:b/>
                <w:bCs/>
              </w:rPr>
              <w:t>Location</w:t>
            </w:r>
          </w:p>
        </w:tc>
        <w:tc>
          <w:tcPr>
            <w:tcW w:w="1440" w:type="dxa"/>
          </w:tcPr>
          <w:p w14:paraId="34CD77C0" w14:textId="05DA5256" w:rsidR="00312BC2" w:rsidRPr="00C54575" w:rsidRDefault="00312BC2" w:rsidP="00312BC2">
            <w:pPr>
              <w:jc w:val="center"/>
              <w:rPr>
                <w:rFonts w:ascii="Arial" w:hAnsi="Arial" w:cs="Arial"/>
                <w:b/>
                <w:bCs/>
              </w:rPr>
            </w:pPr>
            <w:r w:rsidRPr="00C54575">
              <w:rPr>
                <w:rFonts w:ascii="Arial" w:hAnsi="Arial" w:cs="Arial"/>
                <w:b/>
                <w:bCs/>
              </w:rPr>
              <w:t>Early Sample</w:t>
            </w:r>
          </w:p>
        </w:tc>
        <w:tc>
          <w:tcPr>
            <w:tcW w:w="1440" w:type="dxa"/>
          </w:tcPr>
          <w:p w14:paraId="4977C5E9" w14:textId="33F6ED75" w:rsidR="00312BC2" w:rsidRPr="00C54575" w:rsidRDefault="00312BC2" w:rsidP="00312BC2">
            <w:pPr>
              <w:jc w:val="center"/>
              <w:rPr>
                <w:rFonts w:ascii="Arial" w:hAnsi="Arial" w:cs="Arial"/>
                <w:b/>
                <w:bCs/>
              </w:rPr>
            </w:pPr>
            <w:r w:rsidRPr="00C54575">
              <w:rPr>
                <w:rFonts w:ascii="Arial" w:hAnsi="Arial" w:cs="Arial"/>
                <w:b/>
                <w:bCs/>
              </w:rPr>
              <w:t>Peak Sample</w:t>
            </w:r>
          </w:p>
        </w:tc>
        <w:tc>
          <w:tcPr>
            <w:tcW w:w="1435" w:type="dxa"/>
          </w:tcPr>
          <w:p w14:paraId="12F04839" w14:textId="71631A29" w:rsidR="00312BC2" w:rsidRPr="00C54575" w:rsidRDefault="00312BC2" w:rsidP="00312BC2">
            <w:pPr>
              <w:jc w:val="center"/>
              <w:rPr>
                <w:rFonts w:ascii="Arial" w:hAnsi="Arial" w:cs="Arial"/>
                <w:b/>
                <w:bCs/>
              </w:rPr>
            </w:pPr>
            <w:r w:rsidRPr="00C54575">
              <w:rPr>
                <w:rFonts w:ascii="Arial" w:hAnsi="Arial" w:cs="Arial"/>
                <w:b/>
                <w:bCs/>
              </w:rPr>
              <w:t>Late Sample</w:t>
            </w:r>
          </w:p>
        </w:tc>
      </w:tr>
      <w:tr w:rsidR="00C54575" w14:paraId="22BEB91F" w14:textId="77777777" w:rsidTr="00E936B4">
        <w:trPr>
          <w:trHeight w:val="728"/>
        </w:trPr>
        <w:tc>
          <w:tcPr>
            <w:tcW w:w="2245" w:type="dxa"/>
          </w:tcPr>
          <w:p w14:paraId="18790097" w14:textId="5B0280C2" w:rsidR="00C54575" w:rsidRDefault="00C54575" w:rsidP="00E936B4">
            <w:pPr>
              <w:jc w:val="center"/>
              <w:rPr>
                <w:rFonts w:ascii="Arial" w:hAnsi="Arial" w:cs="Arial"/>
              </w:rPr>
            </w:pPr>
            <w:r>
              <w:rPr>
                <w:rFonts w:ascii="Arial" w:hAnsi="Arial" w:cs="Arial"/>
              </w:rPr>
              <w:t>Key Largo</w:t>
            </w:r>
          </w:p>
        </w:tc>
        <w:tc>
          <w:tcPr>
            <w:tcW w:w="2790" w:type="dxa"/>
          </w:tcPr>
          <w:p w14:paraId="75185321" w14:textId="64C0A48C" w:rsidR="00C54575" w:rsidRDefault="00C54575" w:rsidP="00E936B4">
            <w:pPr>
              <w:jc w:val="center"/>
              <w:rPr>
                <w:rFonts w:ascii="Arial" w:hAnsi="Arial" w:cs="Arial"/>
              </w:rPr>
            </w:pPr>
            <w:r>
              <w:rPr>
                <w:rFonts w:ascii="Arial" w:hAnsi="Arial" w:cs="Arial"/>
              </w:rPr>
              <w:t>Steamboat Creek</w:t>
            </w:r>
          </w:p>
        </w:tc>
        <w:tc>
          <w:tcPr>
            <w:tcW w:w="1440" w:type="dxa"/>
          </w:tcPr>
          <w:p w14:paraId="413A149F" w14:textId="0A905E53" w:rsidR="00C54575" w:rsidRDefault="00C54575" w:rsidP="00E936B4">
            <w:pPr>
              <w:jc w:val="center"/>
              <w:rPr>
                <w:rFonts w:ascii="Arial" w:hAnsi="Arial" w:cs="Arial"/>
              </w:rPr>
            </w:pPr>
            <w:r>
              <w:rPr>
                <w:rFonts w:ascii="Arial" w:hAnsi="Arial" w:cs="Arial"/>
              </w:rPr>
              <w:t>Late Feb.</w:t>
            </w:r>
          </w:p>
        </w:tc>
        <w:tc>
          <w:tcPr>
            <w:tcW w:w="1440" w:type="dxa"/>
          </w:tcPr>
          <w:p w14:paraId="6C35E682" w14:textId="5363E348" w:rsidR="00C54575" w:rsidRDefault="00E936B4" w:rsidP="00E936B4">
            <w:pPr>
              <w:jc w:val="center"/>
              <w:rPr>
                <w:rFonts w:ascii="Arial" w:hAnsi="Arial" w:cs="Arial"/>
              </w:rPr>
            </w:pPr>
            <w:r>
              <w:rPr>
                <w:rFonts w:ascii="Arial" w:hAnsi="Arial" w:cs="Arial"/>
              </w:rPr>
              <w:t>Early August</w:t>
            </w:r>
          </w:p>
        </w:tc>
        <w:tc>
          <w:tcPr>
            <w:tcW w:w="1435" w:type="dxa"/>
          </w:tcPr>
          <w:p w14:paraId="6AD905C1" w14:textId="462CE546" w:rsidR="00C54575" w:rsidRDefault="007D75C9" w:rsidP="00E936B4">
            <w:pPr>
              <w:jc w:val="center"/>
              <w:rPr>
                <w:rFonts w:ascii="Arial" w:hAnsi="Arial" w:cs="Arial"/>
              </w:rPr>
            </w:pPr>
            <w:r>
              <w:rPr>
                <w:rFonts w:ascii="Arial" w:hAnsi="Arial" w:cs="Arial"/>
              </w:rPr>
              <w:t>Late</w:t>
            </w:r>
            <w:r w:rsidR="00C54575">
              <w:rPr>
                <w:rFonts w:ascii="Arial" w:hAnsi="Arial" w:cs="Arial"/>
              </w:rPr>
              <w:t xml:space="preserve"> November</w:t>
            </w:r>
          </w:p>
        </w:tc>
      </w:tr>
      <w:tr w:rsidR="00C54575" w14:paraId="4D368F69" w14:textId="77777777" w:rsidTr="00E936B4">
        <w:trPr>
          <w:trHeight w:val="971"/>
        </w:trPr>
        <w:tc>
          <w:tcPr>
            <w:tcW w:w="2245" w:type="dxa"/>
          </w:tcPr>
          <w:p w14:paraId="09D0A56B" w14:textId="5FC4C3CF" w:rsidR="00C54575" w:rsidRDefault="00C54575" w:rsidP="00E936B4">
            <w:pPr>
              <w:jc w:val="center"/>
              <w:rPr>
                <w:rFonts w:ascii="Arial" w:hAnsi="Arial" w:cs="Arial"/>
              </w:rPr>
            </w:pPr>
            <w:r>
              <w:rPr>
                <w:rFonts w:ascii="Arial" w:hAnsi="Arial" w:cs="Arial"/>
              </w:rPr>
              <w:t>Chesapeake Bay</w:t>
            </w:r>
          </w:p>
        </w:tc>
        <w:tc>
          <w:tcPr>
            <w:tcW w:w="2790" w:type="dxa"/>
          </w:tcPr>
          <w:p w14:paraId="2466B478" w14:textId="3793E77B" w:rsidR="00C54575" w:rsidRPr="001A13A3" w:rsidRDefault="00C54575" w:rsidP="00E936B4">
            <w:pPr>
              <w:jc w:val="center"/>
              <w:rPr>
                <w:rFonts w:ascii="Arial" w:hAnsi="Arial" w:cs="Arial"/>
                <w:b/>
                <w:bCs/>
              </w:rPr>
            </w:pPr>
            <w:r w:rsidRPr="001A13A3">
              <w:rPr>
                <w:rFonts w:ascii="Arial" w:hAnsi="Arial" w:cs="Arial"/>
                <w:b/>
                <w:bCs/>
              </w:rPr>
              <w:t>‘S lineage’ sampling sites from Plough et al. 2018</w:t>
            </w:r>
          </w:p>
        </w:tc>
        <w:tc>
          <w:tcPr>
            <w:tcW w:w="1440" w:type="dxa"/>
          </w:tcPr>
          <w:p w14:paraId="132614B9" w14:textId="52A545F6" w:rsidR="00C54575" w:rsidRDefault="00E936B4" w:rsidP="00E936B4">
            <w:pPr>
              <w:jc w:val="center"/>
              <w:rPr>
                <w:rFonts w:ascii="Arial" w:hAnsi="Arial" w:cs="Arial"/>
              </w:rPr>
            </w:pPr>
            <w:r>
              <w:rPr>
                <w:rFonts w:ascii="Arial" w:hAnsi="Arial" w:cs="Arial"/>
              </w:rPr>
              <w:t>ASAP (early July)</w:t>
            </w:r>
          </w:p>
        </w:tc>
        <w:tc>
          <w:tcPr>
            <w:tcW w:w="1440" w:type="dxa"/>
          </w:tcPr>
          <w:p w14:paraId="36F5A85E" w14:textId="1F6505FF" w:rsidR="00C54575" w:rsidRDefault="00E936B4" w:rsidP="00E936B4">
            <w:pPr>
              <w:jc w:val="center"/>
              <w:rPr>
                <w:rFonts w:ascii="Arial" w:hAnsi="Arial" w:cs="Arial"/>
              </w:rPr>
            </w:pPr>
            <w:r>
              <w:rPr>
                <w:rFonts w:ascii="Arial" w:hAnsi="Arial" w:cs="Arial"/>
              </w:rPr>
              <w:t>Late August</w:t>
            </w:r>
          </w:p>
        </w:tc>
        <w:tc>
          <w:tcPr>
            <w:tcW w:w="1435" w:type="dxa"/>
          </w:tcPr>
          <w:p w14:paraId="0948E99B" w14:textId="0D837559" w:rsidR="00C54575" w:rsidRDefault="00C54575" w:rsidP="00E936B4">
            <w:pPr>
              <w:jc w:val="center"/>
              <w:rPr>
                <w:rFonts w:ascii="Arial" w:hAnsi="Arial" w:cs="Arial"/>
              </w:rPr>
            </w:pPr>
            <w:r>
              <w:rPr>
                <w:rFonts w:ascii="Arial" w:hAnsi="Arial" w:cs="Arial"/>
              </w:rPr>
              <w:t>Early November</w:t>
            </w:r>
          </w:p>
        </w:tc>
      </w:tr>
      <w:tr w:rsidR="00C54575" w14:paraId="5931E6EC" w14:textId="77777777" w:rsidTr="00E936B4">
        <w:trPr>
          <w:trHeight w:val="764"/>
        </w:trPr>
        <w:tc>
          <w:tcPr>
            <w:tcW w:w="2245" w:type="dxa"/>
          </w:tcPr>
          <w:p w14:paraId="4128A083" w14:textId="63BEC516" w:rsidR="00C54575" w:rsidRDefault="00C54575" w:rsidP="00E936B4">
            <w:pPr>
              <w:jc w:val="center"/>
              <w:rPr>
                <w:rFonts w:ascii="Arial" w:hAnsi="Arial" w:cs="Arial"/>
              </w:rPr>
            </w:pPr>
            <w:r>
              <w:rPr>
                <w:rFonts w:ascii="Arial" w:hAnsi="Arial" w:cs="Arial"/>
              </w:rPr>
              <w:t>Long Island Sound</w:t>
            </w:r>
          </w:p>
        </w:tc>
        <w:tc>
          <w:tcPr>
            <w:tcW w:w="2790" w:type="dxa"/>
          </w:tcPr>
          <w:p w14:paraId="4EA2949C" w14:textId="7850EBC3" w:rsidR="00C54575" w:rsidRDefault="00C54575" w:rsidP="00E936B4">
            <w:pPr>
              <w:jc w:val="center"/>
              <w:rPr>
                <w:rFonts w:ascii="Arial" w:hAnsi="Arial" w:cs="Arial"/>
              </w:rPr>
            </w:pPr>
            <w:r>
              <w:rPr>
                <w:rFonts w:ascii="Arial" w:hAnsi="Arial" w:cs="Arial"/>
              </w:rPr>
              <w:t>Esker Point Beach</w:t>
            </w:r>
          </w:p>
        </w:tc>
        <w:tc>
          <w:tcPr>
            <w:tcW w:w="1440" w:type="dxa"/>
          </w:tcPr>
          <w:p w14:paraId="4E2C0867" w14:textId="33A48EF4" w:rsidR="00C54575" w:rsidRDefault="00E936B4" w:rsidP="00E936B4">
            <w:pPr>
              <w:jc w:val="center"/>
              <w:rPr>
                <w:rFonts w:ascii="Arial" w:hAnsi="Arial" w:cs="Arial"/>
              </w:rPr>
            </w:pPr>
            <w:r>
              <w:rPr>
                <w:rFonts w:ascii="Arial" w:hAnsi="Arial" w:cs="Arial"/>
              </w:rPr>
              <w:t>ASAP (early July)</w:t>
            </w:r>
          </w:p>
        </w:tc>
        <w:tc>
          <w:tcPr>
            <w:tcW w:w="1440" w:type="dxa"/>
          </w:tcPr>
          <w:p w14:paraId="0A4B2832" w14:textId="2DFC668B" w:rsidR="00C54575" w:rsidRDefault="00E936B4" w:rsidP="00E936B4">
            <w:pPr>
              <w:jc w:val="center"/>
              <w:rPr>
                <w:rFonts w:ascii="Arial" w:hAnsi="Arial" w:cs="Arial"/>
              </w:rPr>
            </w:pPr>
            <w:r>
              <w:rPr>
                <w:rFonts w:ascii="Arial" w:hAnsi="Arial" w:cs="Arial"/>
              </w:rPr>
              <w:t xml:space="preserve">Very </w:t>
            </w:r>
            <w:r w:rsidR="00C54575">
              <w:rPr>
                <w:rFonts w:ascii="Arial" w:hAnsi="Arial" w:cs="Arial"/>
              </w:rPr>
              <w:t>Early September</w:t>
            </w:r>
          </w:p>
        </w:tc>
        <w:tc>
          <w:tcPr>
            <w:tcW w:w="1435" w:type="dxa"/>
          </w:tcPr>
          <w:p w14:paraId="0051B24D" w14:textId="2AD9305B" w:rsidR="00C54575" w:rsidRDefault="00C54575" w:rsidP="00E936B4">
            <w:pPr>
              <w:jc w:val="center"/>
              <w:rPr>
                <w:rFonts w:ascii="Arial" w:hAnsi="Arial" w:cs="Arial"/>
              </w:rPr>
            </w:pPr>
            <w:r>
              <w:rPr>
                <w:rFonts w:ascii="Arial" w:hAnsi="Arial" w:cs="Arial"/>
              </w:rPr>
              <w:t>Late October</w:t>
            </w:r>
          </w:p>
        </w:tc>
      </w:tr>
      <w:tr w:rsidR="00C54575" w14:paraId="6B8F5851" w14:textId="77777777" w:rsidTr="00E936B4">
        <w:trPr>
          <w:trHeight w:val="1016"/>
        </w:trPr>
        <w:tc>
          <w:tcPr>
            <w:tcW w:w="2245" w:type="dxa"/>
          </w:tcPr>
          <w:p w14:paraId="6A74D95B" w14:textId="522BB019" w:rsidR="00C54575" w:rsidRDefault="00C54575" w:rsidP="00E936B4">
            <w:pPr>
              <w:jc w:val="center"/>
              <w:rPr>
                <w:rFonts w:ascii="Arial" w:hAnsi="Arial" w:cs="Arial"/>
              </w:rPr>
            </w:pPr>
            <w:r>
              <w:rPr>
                <w:rFonts w:ascii="Arial" w:hAnsi="Arial" w:cs="Arial"/>
              </w:rPr>
              <w:t>Maine</w:t>
            </w:r>
          </w:p>
        </w:tc>
        <w:tc>
          <w:tcPr>
            <w:tcW w:w="2790" w:type="dxa"/>
          </w:tcPr>
          <w:p w14:paraId="1FC35652" w14:textId="47DDE2C3" w:rsidR="00C54575" w:rsidRDefault="00C54575" w:rsidP="00E936B4">
            <w:pPr>
              <w:jc w:val="center"/>
              <w:rPr>
                <w:rFonts w:ascii="Arial" w:hAnsi="Arial" w:cs="Arial"/>
              </w:rPr>
            </w:pPr>
            <w:r>
              <w:rPr>
                <w:rFonts w:ascii="Arial" w:hAnsi="Arial" w:cs="Arial"/>
              </w:rPr>
              <w:t xml:space="preserve">Machias? Sandy Point Bridge? </w:t>
            </w:r>
            <w:r w:rsidRPr="001A13A3">
              <w:rPr>
                <w:rFonts w:ascii="Arial" w:hAnsi="Arial" w:cs="Arial"/>
                <w:b/>
                <w:bCs/>
              </w:rPr>
              <w:t>Darling Marine Center?</w:t>
            </w:r>
          </w:p>
        </w:tc>
        <w:tc>
          <w:tcPr>
            <w:tcW w:w="1440" w:type="dxa"/>
          </w:tcPr>
          <w:p w14:paraId="23D34E99" w14:textId="65690E28" w:rsidR="00C54575" w:rsidRPr="007D75C9" w:rsidRDefault="00C54575" w:rsidP="00E936B4">
            <w:pPr>
              <w:jc w:val="center"/>
              <w:rPr>
                <w:rFonts w:ascii="Arial" w:hAnsi="Arial" w:cs="Arial"/>
                <w:b/>
                <w:bCs/>
              </w:rPr>
            </w:pPr>
            <w:r w:rsidRPr="007D75C9">
              <w:rPr>
                <w:rFonts w:ascii="Arial" w:hAnsi="Arial" w:cs="Arial"/>
                <w:b/>
                <w:bCs/>
              </w:rPr>
              <w:t>Late July/Early August</w:t>
            </w:r>
            <w:r w:rsidR="007D75C9">
              <w:rPr>
                <w:rFonts w:ascii="Arial" w:hAnsi="Arial" w:cs="Arial"/>
                <w:b/>
                <w:bCs/>
              </w:rPr>
              <w:t>?</w:t>
            </w:r>
          </w:p>
        </w:tc>
        <w:tc>
          <w:tcPr>
            <w:tcW w:w="1440" w:type="dxa"/>
          </w:tcPr>
          <w:p w14:paraId="7C7B1001" w14:textId="4A07588F" w:rsidR="00C54575" w:rsidRDefault="00C54575" w:rsidP="00E936B4">
            <w:pPr>
              <w:jc w:val="center"/>
              <w:rPr>
                <w:rFonts w:ascii="Arial" w:hAnsi="Arial" w:cs="Arial"/>
              </w:rPr>
            </w:pPr>
            <w:r>
              <w:rPr>
                <w:rFonts w:ascii="Arial" w:hAnsi="Arial" w:cs="Arial"/>
              </w:rPr>
              <w:t>Early September</w:t>
            </w:r>
          </w:p>
        </w:tc>
        <w:tc>
          <w:tcPr>
            <w:tcW w:w="1435" w:type="dxa"/>
          </w:tcPr>
          <w:p w14:paraId="1822010F" w14:textId="070E6186" w:rsidR="00C54575" w:rsidRPr="007D75C9" w:rsidRDefault="00C54575" w:rsidP="00E936B4">
            <w:pPr>
              <w:jc w:val="center"/>
              <w:rPr>
                <w:rFonts w:ascii="Arial" w:hAnsi="Arial" w:cs="Arial"/>
                <w:b/>
                <w:bCs/>
              </w:rPr>
            </w:pPr>
            <w:r w:rsidRPr="007D75C9">
              <w:rPr>
                <w:rFonts w:ascii="Arial" w:hAnsi="Arial" w:cs="Arial"/>
                <w:b/>
                <w:bCs/>
              </w:rPr>
              <w:t>Early October?</w:t>
            </w:r>
          </w:p>
        </w:tc>
      </w:tr>
      <w:tr w:rsidR="00C54575" w14:paraId="698576A1" w14:textId="77777777" w:rsidTr="00E936B4">
        <w:trPr>
          <w:trHeight w:val="1070"/>
        </w:trPr>
        <w:tc>
          <w:tcPr>
            <w:tcW w:w="2245" w:type="dxa"/>
          </w:tcPr>
          <w:p w14:paraId="753BFA48" w14:textId="57896885" w:rsidR="00C54575" w:rsidRDefault="00C54575" w:rsidP="00E936B4">
            <w:pPr>
              <w:jc w:val="center"/>
              <w:rPr>
                <w:rFonts w:ascii="Arial" w:hAnsi="Arial" w:cs="Arial"/>
              </w:rPr>
            </w:pPr>
            <w:r>
              <w:rPr>
                <w:rFonts w:ascii="Arial" w:hAnsi="Arial" w:cs="Arial"/>
              </w:rPr>
              <w:t>Shediac Bay</w:t>
            </w:r>
          </w:p>
        </w:tc>
        <w:tc>
          <w:tcPr>
            <w:tcW w:w="2790" w:type="dxa"/>
          </w:tcPr>
          <w:p w14:paraId="18FD9ADD" w14:textId="66C9C721" w:rsidR="00C54575" w:rsidRDefault="00C54575" w:rsidP="00E936B4">
            <w:pPr>
              <w:jc w:val="center"/>
              <w:rPr>
                <w:rFonts w:ascii="Arial" w:hAnsi="Arial" w:cs="Arial"/>
              </w:rPr>
            </w:pPr>
            <w:r>
              <w:rPr>
                <w:rFonts w:ascii="Arial" w:hAnsi="Arial" w:cs="Arial"/>
              </w:rPr>
              <w:t>Shediac Bridge</w:t>
            </w:r>
          </w:p>
        </w:tc>
        <w:tc>
          <w:tcPr>
            <w:tcW w:w="1440" w:type="dxa"/>
          </w:tcPr>
          <w:p w14:paraId="542AC9C1" w14:textId="2213EAC7" w:rsidR="00C54575" w:rsidRPr="007D75C9" w:rsidRDefault="009B7CA4" w:rsidP="00E936B4">
            <w:pPr>
              <w:jc w:val="center"/>
              <w:rPr>
                <w:rFonts w:ascii="Arial" w:hAnsi="Arial" w:cs="Arial"/>
                <w:b/>
                <w:bCs/>
              </w:rPr>
            </w:pPr>
            <w:r>
              <w:rPr>
                <w:rFonts w:ascii="Arial" w:hAnsi="Arial" w:cs="Arial"/>
                <w:b/>
                <w:bCs/>
              </w:rPr>
              <w:t>Mid-July?</w:t>
            </w:r>
          </w:p>
        </w:tc>
        <w:tc>
          <w:tcPr>
            <w:tcW w:w="1440" w:type="dxa"/>
          </w:tcPr>
          <w:p w14:paraId="088AD72B" w14:textId="4C80072A" w:rsidR="00C54575" w:rsidRDefault="00C54575" w:rsidP="00E936B4">
            <w:pPr>
              <w:jc w:val="center"/>
              <w:rPr>
                <w:rFonts w:ascii="Arial" w:hAnsi="Arial" w:cs="Arial"/>
              </w:rPr>
            </w:pPr>
            <w:r>
              <w:rPr>
                <w:rFonts w:ascii="Arial" w:hAnsi="Arial" w:cs="Arial"/>
              </w:rPr>
              <w:t>Early September</w:t>
            </w:r>
          </w:p>
        </w:tc>
        <w:tc>
          <w:tcPr>
            <w:tcW w:w="1435" w:type="dxa"/>
          </w:tcPr>
          <w:p w14:paraId="516D4F3B" w14:textId="2FC5AB09" w:rsidR="00C54575" w:rsidRPr="00C531D5" w:rsidRDefault="00914C89" w:rsidP="00E936B4">
            <w:pPr>
              <w:jc w:val="center"/>
              <w:rPr>
                <w:rFonts w:ascii="Arial" w:hAnsi="Arial" w:cs="Arial"/>
              </w:rPr>
            </w:pPr>
            <w:r>
              <w:rPr>
                <w:rFonts w:ascii="Arial" w:hAnsi="Arial" w:cs="Arial"/>
              </w:rPr>
              <w:t>Late September</w:t>
            </w:r>
          </w:p>
        </w:tc>
      </w:tr>
    </w:tbl>
    <w:p w14:paraId="0C0379AC" w14:textId="77777777" w:rsidR="00312BC2" w:rsidRDefault="00312BC2">
      <w:pPr>
        <w:rPr>
          <w:rFonts w:ascii="Arial" w:hAnsi="Arial" w:cs="Arial"/>
        </w:rPr>
      </w:pPr>
    </w:p>
    <w:p w14:paraId="375FF8CD" w14:textId="13DFF8AB" w:rsidR="00860468" w:rsidRDefault="00860468">
      <w:pPr>
        <w:rPr>
          <w:rFonts w:ascii="Arial" w:hAnsi="Arial" w:cs="Arial"/>
        </w:rPr>
      </w:pPr>
      <w:r>
        <w:rPr>
          <w:rFonts w:ascii="Arial" w:hAnsi="Arial" w:cs="Arial"/>
        </w:rPr>
        <w:lastRenderedPageBreak/>
        <w:t xml:space="preserve">Key uncertainties are represented in bold text. Foremost among them </w:t>
      </w:r>
      <w:r w:rsidR="00A4298C">
        <w:rPr>
          <w:rFonts w:ascii="Arial" w:hAnsi="Arial" w:cs="Arial"/>
        </w:rPr>
        <w:t>is figuring out</w:t>
      </w:r>
      <w:r>
        <w:rPr>
          <w:rFonts w:ascii="Arial" w:hAnsi="Arial" w:cs="Arial"/>
        </w:rPr>
        <w:t xml:space="preserve"> the beginning and end of the season of occurrence in Maine and Shediac Bay. It would also be helpful to check on the best sampling sites within the Chesapeake. </w:t>
      </w:r>
    </w:p>
    <w:p w14:paraId="0F8DB719" w14:textId="0D544E8A" w:rsidR="00860468" w:rsidRPr="00D0405D" w:rsidRDefault="00860468" w:rsidP="00860468">
      <w:pPr>
        <w:pStyle w:val="ListParagraph"/>
        <w:numPr>
          <w:ilvl w:val="0"/>
          <w:numId w:val="1"/>
        </w:numPr>
        <w:rPr>
          <w:rFonts w:ascii="Arial" w:hAnsi="Arial" w:cs="Arial"/>
          <w:strike/>
        </w:rPr>
      </w:pPr>
      <w:r w:rsidRPr="00D0405D">
        <w:rPr>
          <w:rFonts w:ascii="Arial" w:hAnsi="Arial" w:cs="Arial"/>
          <w:strike/>
        </w:rPr>
        <w:t xml:space="preserve">I will reach out to Jeff Runge at Darling Marine Center about the phenology of </w:t>
      </w:r>
      <w:r w:rsidRPr="00D0405D">
        <w:rPr>
          <w:rFonts w:ascii="Arial" w:hAnsi="Arial" w:cs="Arial"/>
          <w:i/>
          <w:iCs/>
          <w:strike/>
        </w:rPr>
        <w:t>Acartia tonsa</w:t>
      </w:r>
      <w:r w:rsidRPr="00D0405D">
        <w:rPr>
          <w:rFonts w:ascii="Arial" w:hAnsi="Arial" w:cs="Arial"/>
          <w:strike/>
        </w:rPr>
        <w:t xml:space="preserve"> there. </w:t>
      </w:r>
    </w:p>
    <w:p w14:paraId="5320D9F2" w14:textId="71FB9C2F" w:rsidR="00860468" w:rsidRPr="001D2728" w:rsidRDefault="00860468" w:rsidP="00860468">
      <w:pPr>
        <w:pStyle w:val="ListParagraph"/>
        <w:numPr>
          <w:ilvl w:val="0"/>
          <w:numId w:val="1"/>
        </w:numPr>
        <w:rPr>
          <w:rFonts w:ascii="Arial" w:hAnsi="Arial" w:cs="Arial"/>
          <w:strike/>
        </w:rPr>
      </w:pPr>
      <w:r w:rsidRPr="001D2728">
        <w:rPr>
          <w:rFonts w:ascii="Arial" w:hAnsi="Arial" w:cs="Arial"/>
          <w:strike/>
        </w:rPr>
        <w:t xml:space="preserve">I will reach out to Louis Plough and Jamie Pierson at Horn Point about whether they have recommendations for timing and location of samples. </w:t>
      </w:r>
    </w:p>
    <w:p w14:paraId="2492F15E" w14:textId="77777777" w:rsidR="00312BC2" w:rsidRDefault="00312BC2">
      <w:pPr>
        <w:rPr>
          <w:rFonts w:ascii="Arial" w:hAnsi="Arial" w:cs="Arial"/>
        </w:rPr>
      </w:pPr>
    </w:p>
    <w:p w14:paraId="76C9492B" w14:textId="429A4A0F" w:rsidR="0064381F" w:rsidRDefault="0064381F">
      <w:pPr>
        <w:rPr>
          <w:rFonts w:ascii="Arial" w:hAnsi="Arial" w:cs="Arial"/>
        </w:rPr>
      </w:pPr>
      <w:r>
        <w:rPr>
          <w:rFonts w:ascii="Arial" w:hAnsi="Arial" w:cs="Arial"/>
        </w:rPr>
        <w:t xml:space="preserve">Other notes: </w:t>
      </w:r>
    </w:p>
    <w:p w14:paraId="197A1BC1" w14:textId="2AAC9950" w:rsidR="0064381F" w:rsidRDefault="0064381F" w:rsidP="0064381F">
      <w:pPr>
        <w:pStyle w:val="ListParagraph"/>
        <w:numPr>
          <w:ilvl w:val="0"/>
          <w:numId w:val="1"/>
        </w:numPr>
        <w:rPr>
          <w:rFonts w:ascii="Arial" w:hAnsi="Arial" w:cs="Arial"/>
        </w:rPr>
      </w:pPr>
      <w:r>
        <w:rPr>
          <w:rFonts w:ascii="Arial" w:hAnsi="Arial" w:cs="Arial"/>
        </w:rPr>
        <w:t xml:space="preserve">This approach would result in large differences in the number of generations between samples for the different sites. We will account for this when examining allele frequency changes (ex - % change per generation). </w:t>
      </w:r>
    </w:p>
    <w:p w14:paraId="3683E4D6" w14:textId="526D5D99" w:rsidR="0064381F" w:rsidRDefault="0064381F" w:rsidP="0064381F">
      <w:pPr>
        <w:pStyle w:val="ListParagraph"/>
        <w:numPr>
          <w:ilvl w:val="0"/>
          <w:numId w:val="1"/>
        </w:numPr>
        <w:rPr>
          <w:rFonts w:ascii="Arial" w:hAnsi="Arial" w:cs="Arial"/>
        </w:rPr>
      </w:pPr>
      <w:r>
        <w:rPr>
          <w:rFonts w:ascii="Arial" w:hAnsi="Arial" w:cs="Arial"/>
        </w:rPr>
        <w:t xml:space="preserve">If we collect a second Early Season sample in 2024, we would be able to compare the allele frequencies at the beginning of the season with the allele frequencies towards the end of the season </w:t>
      </w:r>
      <w:r w:rsidR="002B424B">
        <w:rPr>
          <w:rFonts w:ascii="Arial" w:hAnsi="Arial" w:cs="Arial"/>
        </w:rPr>
        <w:t xml:space="preserve">this year. </w:t>
      </w:r>
    </w:p>
    <w:p w14:paraId="0476E7D9" w14:textId="77777777" w:rsidR="00366F65" w:rsidRPr="00366F65" w:rsidRDefault="00366F65" w:rsidP="00366F65">
      <w:pPr>
        <w:rPr>
          <w:rFonts w:ascii="Arial" w:hAnsi="Arial" w:cs="Arial"/>
        </w:rPr>
      </w:pPr>
    </w:p>
    <w:p w14:paraId="53E68D66" w14:textId="77777777" w:rsidR="00E62BDF" w:rsidRDefault="00E62BDF">
      <w:pPr>
        <w:rPr>
          <w:rFonts w:ascii="Arial" w:hAnsi="Arial" w:cs="Arial"/>
        </w:rPr>
      </w:pPr>
    </w:p>
    <w:p w14:paraId="08FD9FFC" w14:textId="1FE61CDD" w:rsidR="005449A7" w:rsidRPr="005449A7" w:rsidRDefault="005449A7">
      <w:pPr>
        <w:rPr>
          <w:rFonts w:ascii="Arial" w:hAnsi="Arial" w:cs="Arial"/>
          <w:b/>
          <w:bCs/>
        </w:rPr>
      </w:pPr>
      <w:r w:rsidRPr="005449A7">
        <w:rPr>
          <w:rFonts w:ascii="Arial" w:hAnsi="Arial" w:cs="Arial"/>
          <w:b/>
          <w:bCs/>
        </w:rPr>
        <w:t xml:space="preserve">Phenotyping </w:t>
      </w:r>
    </w:p>
    <w:p w14:paraId="1B6EE508" w14:textId="570F2165" w:rsidR="005449A7" w:rsidRDefault="005449A7">
      <w:pPr>
        <w:rPr>
          <w:rFonts w:ascii="Arial" w:hAnsi="Arial" w:cs="Arial"/>
        </w:rPr>
      </w:pPr>
      <w:r>
        <w:rPr>
          <w:rFonts w:ascii="Arial" w:hAnsi="Arial" w:cs="Arial"/>
        </w:rPr>
        <w:t>CTmax and body sizes will be measured for field collected animals.</w:t>
      </w:r>
      <w:r w:rsidR="00E62BDF">
        <w:rPr>
          <w:rFonts w:ascii="Arial" w:hAnsi="Arial" w:cs="Arial"/>
        </w:rPr>
        <w:t xml:space="preserve"> Temperature and salinity will be measured at the time of collection, with experimental conditions adjusted to match.</w:t>
      </w:r>
      <w:r>
        <w:rPr>
          <w:rFonts w:ascii="Arial" w:hAnsi="Arial" w:cs="Arial"/>
        </w:rPr>
        <w:t xml:space="preserve"> Each individual will be preserved in 95% ethanol after</w:t>
      </w:r>
      <w:r w:rsidR="00387C8A">
        <w:rPr>
          <w:rFonts w:ascii="Arial" w:hAnsi="Arial" w:cs="Arial"/>
        </w:rPr>
        <w:t xml:space="preserve"> the assay is complete</w:t>
      </w:r>
      <w:r>
        <w:rPr>
          <w:rFonts w:ascii="Arial" w:hAnsi="Arial" w:cs="Arial"/>
        </w:rPr>
        <w:t xml:space="preserve">. </w:t>
      </w:r>
      <w:r w:rsidR="00C566FC">
        <w:rPr>
          <w:rFonts w:ascii="Arial" w:hAnsi="Arial" w:cs="Arial"/>
        </w:rPr>
        <w:t xml:space="preserve">At least 20 individuals will be </w:t>
      </w:r>
      <w:proofErr w:type="spellStart"/>
      <w:r w:rsidR="00C566FC">
        <w:rPr>
          <w:rFonts w:ascii="Arial" w:hAnsi="Arial" w:cs="Arial"/>
        </w:rPr>
        <w:t>phenotyped</w:t>
      </w:r>
      <w:proofErr w:type="spellEnd"/>
      <w:r w:rsidR="00C566FC">
        <w:rPr>
          <w:rFonts w:ascii="Arial" w:hAnsi="Arial" w:cs="Arial"/>
        </w:rPr>
        <w:t xml:space="preserve"> </w:t>
      </w:r>
      <w:r w:rsidR="0000142F">
        <w:rPr>
          <w:rFonts w:ascii="Arial" w:hAnsi="Arial" w:cs="Arial"/>
        </w:rPr>
        <w:t xml:space="preserve">per site </w:t>
      </w:r>
      <w:r w:rsidR="00C566FC">
        <w:rPr>
          <w:rFonts w:ascii="Arial" w:hAnsi="Arial" w:cs="Arial"/>
        </w:rPr>
        <w:t xml:space="preserve">during each seasonal sampling event. </w:t>
      </w:r>
      <w:r w:rsidR="009D3A0D">
        <w:rPr>
          <w:rFonts w:ascii="Arial" w:hAnsi="Arial" w:cs="Arial"/>
        </w:rPr>
        <w:t xml:space="preserve">Based on this number of individuals, we would have a total of 300 copepods </w:t>
      </w:r>
      <w:proofErr w:type="spellStart"/>
      <w:r w:rsidR="009D3A0D">
        <w:rPr>
          <w:rFonts w:ascii="Arial" w:hAnsi="Arial" w:cs="Arial"/>
        </w:rPr>
        <w:t>phenotyped</w:t>
      </w:r>
      <w:proofErr w:type="spellEnd"/>
      <w:r w:rsidR="009D3A0D">
        <w:rPr>
          <w:rFonts w:ascii="Arial" w:hAnsi="Arial" w:cs="Arial"/>
        </w:rPr>
        <w:t xml:space="preserve"> and preserved by the end of the year (20 individuals, 3 seasons, 5 sites) </w:t>
      </w:r>
    </w:p>
    <w:p w14:paraId="49BB2612" w14:textId="77777777" w:rsidR="00984BA0" w:rsidRDefault="00984BA0">
      <w:pPr>
        <w:rPr>
          <w:rFonts w:ascii="Arial" w:hAnsi="Arial" w:cs="Arial"/>
        </w:rPr>
      </w:pPr>
    </w:p>
    <w:p w14:paraId="6BFB6191" w14:textId="77777777" w:rsidR="00E62BDF" w:rsidRPr="004A26D8" w:rsidRDefault="00E62BDF">
      <w:pPr>
        <w:rPr>
          <w:rFonts w:ascii="Arial" w:hAnsi="Arial" w:cs="Arial"/>
        </w:rPr>
      </w:pPr>
    </w:p>
    <w:p w14:paraId="1281827D" w14:textId="647DA812" w:rsidR="0093271E" w:rsidRPr="004A26D8" w:rsidRDefault="00976774">
      <w:pPr>
        <w:rPr>
          <w:rFonts w:ascii="Arial" w:hAnsi="Arial" w:cs="Arial"/>
        </w:rPr>
      </w:pPr>
      <w:r>
        <w:rPr>
          <w:rFonts w:ascii="Arial" w:hAnsi="Arial" w:cs="Arial"/>
          <w:b/>
          <w:bCs/>
        </w:rPr>
        <w:t>Sequencing</w:t>
      </w:r>
    </w:p>
    <w:p w14:paraId="723FB91A" w14:textId="2CEA73E7" w:rsidR="0093271E" w:rsidRPr="00F65076" w:rsidRDefault="0093271E" w:rsidP="00F65076">
      <w:pPr>
        <w:rPr>
          <w:rFonts w:ascii="Arial" w:hAnsi="Arial" w:cs="Arial"/>
          <w:u w:val="single"/>
        </w:rPr>
      </w:pPr>
      <w:r w:rsidRPr="004A26D8">
        <w:rPr>
          <w:rFonts w:ascii="Arial" w:hAnsi="Arial" w:cs="Arial"/>
          <w:u w:val="single"/>
        </w:rPr>
        <w:t>Low coverage whole genome sequencing</w:t>
      </w:r>
      <w:r w:rsidRPr="00F65076">
        <w:rPr>
          <w:rFonts w:ascii="Arial" w:hAnsi="Arial" w:cs="Arial"/>
        </w:rPr>
        <w:t xml:space="preserve"> </w:t>
      </w:r>
      <w:r w:rsidR="00F65076" w:rsidRPr="00F65076">
        <w:rPr>
          <w:rFonts w:ascii="Arial" w:hAnsi="Arial" w:cs="Arial"/>
        </w:rPr>
        <w:t>u</w:t>
      </w:r>
      <w:r w:rsidRPr="00F65076">
        <w:rPr>
          <w:rFonts w:ascii="Arial" w:hAnsi="Arial" w:cs="Arial"/>
        </w:rPr>
        <w:t xml:space="preserve">sing Twist Bio 96-plex library prep and new Illumina </w:t>
      </w:r>
      <w:proofErr w:type="spellStart"/>
      <w:r w:rsidRPr="00F65076">
        <w:rPr>
          <w:rFonts w:ascii="Arial" w:hAnsi="Arial" w:cs="Arial"/>
        </w:rPr>
        <w:t>NovaSeq</w:t>
      </w:r>
      <w:proofErr w:type="spellEnd"/>
      <w:r w:rsidRPr="00F65076">
        <w:rPr>
          <w:rFonts w:ascii="Arial" w:hAnsi="Arial" w:cs="Arial"/>
        </w:rPr>
        <w:t xml:space="preserve"> X Plus with </w:t>
      </w:r>
      <w:proofErr w:type="spellStart"/>
      <w:r w:rsidRPr="00F65076">
        <w:rPr>
          <w:rFonts w:ascii="Arial" w:hAnsi="Arial" w:cs="Arial"/>
        </w:rPr>
        <w:t>Novogene</w:t>
      </w:r>
      <w:proofErr w:type="spellEnd"/>
      <w:r w:rsidR="0064381F">
        <w:rPr>
          <w:rFonts w:ascii="Arial" w:hAnsi="Arial" w:cs="Arial"/>
        </w:rPr>
        <w:t xml:space="preserve">. Outlined below is what we’d estimate for the full latitudinal sampling. </w:t>
      </w:r>
    </w:p>
    <w:p w14:paraId="693F4197" w14:textId="77777777" w:rsidR="0093271E" w:rsidRPr="004A26D8" w:rsidRDefault="0093271E" w:rsidP="0093271E">
      <w:pPr>
        <w:rPr>
          <w:rFonts w:ascii="Arial" w:hAnsi="Arial" w:cs="Arial"/>
        </w:rPr>
      </w:pPr>
    </w:p>
    <w:p w14:paraId="7D745F83" w14:textId="77C61038" w:rsidR="004A26D8" w:rsidRDefault="004A26D8" w:rsidP="0093271E">
      <w:pPr>
        <w:rPr>
          <w:rFonts w:ascii="Arial" w:hAnsi="Arial" w:cs="Arial"/>
        </w:rPr>
      </w:pPr>
      <w:r>
        <w:rPr>
          <w:rFonts w:ascii="Arial" w:hAnsi="Arial" w:cs="Arial"/>
        </w:rPr>
        <w:t>DNA extraction</w:t>
      </w:r>
    </w:p>
    <w:p w14:paraId="54ACBE30" w14:textId="710964C0" w:rsidR="004A26D8" w:rsidRDefault="00CC6BB9" w:rsidP="004A26D8">
      <w:pPr>
        <w:pStyle w:val="ListParagraph"/>
        <w:numPr>
          <w:ilvl w:val="0"/>
          <w:numId w:val="1"/>
        </w:numPr>
        <w:rPr>
          <w:rFonts w:ascii="Arial" w:hAnsi="Arial" w:cs="Arial"/>
        </w:rPr>
      </w:pPr>
      <w:r>
        <w:rPr>
          <w:rFonts w:ascii="Arial" w:hAnsi="Arial" w:cs="Arial"/>
        </w:rPr>
        <w:t xml:space="preserve">Would need ~20 ml </w:t>
      </w:r>
      <w:proofErr w:type="spellStart"/>
      <w:r>
        <w:rPr>
          <w:rFonts w:ascii="Arial" w:hAnsi="Arial" w:cs="Arial"/>
        </w:rPr>
        <w:t>Ampure</w:t>
      </w:r>
      <w:proofErr w:type="spellEnd"/>
      <w:r>
        <w:rPr>
          <w:rFonts w:ascii="Arial" w:hAnsi="Arial" w:cs="Arial"/>
        </w:rPr>
        <w:t xml:space="preserve"> beads (overlap with Alison’s project)</w:t>
      </w:r>
    </w:p>
    <w:p w14:paraId="5C38D852" w14:textId="7CF9DD2B" w:rsidR="00771BD8" w:rsidRDefault="007643C4" w:rsidP="0093271E">
      <w:pPr>
        <w:pStyle w:val="ListParagraph"/>
        <w:numPr>
          <w:ilvl w:val="0"/>
          <w:numId w:val="1"/>
        </w:numPr>
        <w:rPr>
          <w:rFonts w:ascii="Arial" w:hAnsi="Arial" w:cs="Arial"/>
        </w:rPr>
      </w:pPr>
      <w:r w:rsidRPr="00984BA0">
        <w:rPr>
          <w:rFonts w:ascii="Arial" w:hAnsi="Arial" w:cs="Arial"/>
        </w:rPr>
        <w:t xml:space="preserve">Alternatively, could test out the Charm </w:t>
      </w:r>
      <w:proofErr w:type="spellStart"/>
      <w:r w:rsidRPr="00984BA0">
        <w:rPr>
          <w:rFonts w:ascii="Arial" w:hAnsi="Arial" w:cs="Arial"/>
        </w:rPr>
        <w:t>BioTech</w:t>
      </w:r>
      <w:proofErr w:type="spellEnd"/>
      <w:r w:rsidRPr="00984BA0">
        <w:rPr>
          <w:rFonts w:ascii="Arial" w:hAnsi="Arial" w:cs="Arial"/>
        </w:rPr>
        <w:t xml:space="preserve"> approach </w:t>
      </w:r>
    </w:p>
    <w:p w14:paraId="0FF71929" w14:textId="049BD4DD" w:rsidR="009D3883" w:rsidRPr="00E3486D" w:rsidRDefault="009D3883" w:rsidP="009D3883">
      <w:pPr>
        <w:pStyle w:val="ListParagraph"/>
        <w:numPr>
          <w:ilvl w:val="1"/>
          <w:numId w:val="1"/>
        </w:numPr>
        <w:rPr>
          <w:rFonts w:ascii="Arial" w:hAnsi="Arial" w:cs="Arial"/>
          <w:strike/>
        </w:rPr>
      </w:pPr>
      <w:r w:rsidRPr="00E3486D">
        <w:rPr>
          <w:rFonts w:ascii="Arial" w:hAnsi="Arial" w:cs="Arial"/>
          <w:strike/>
        </w:rPr>
        <w:t xml:space="preserve">I will reach out to Charm about test kits, </w:t>
      </w:r>
      <w:r w:rsidR="008910F7" w:rsidRPr="00E3486D">
        <w:rPr>
          <w:rFonts w:ascii="Arial" w:hAnsi="Arial" w:cs="Arial"/>
          <w:strike/>
        </w:rPr>
        <w:t>downstream applications, and whether it would work for epigenomics</w:t>
      </w:r>
    </w:p>
    <w:p w14:paraId="0328043A" w14:textId="4ED2AF38" w:rsidR="00D0405D" w:rsidRDefault="00D0405D" w:rsidP="00D0405D">
      <w:pPr>
        <w:pStyle w:val="ListParagraph"/>
        <w:numPr>
          <w:ilvl w:val="2"/>
          <w:numId w:val="1"/>
        </w:numPr>
        <w:rPr>
          <w:rFonts w:ascii="Arial" w:hAnsi="Arial" w:cs="Arial"/>
        </w:rPr>
      </w:pPr>
      <w:r>
        <w:rPr>
          <w:rFonts w:ascii="Arial" w:hAnsi="Arial" w:cs="Arial"/>
        </w:rPr>
        <w:t>Seems like Charm works best for 50 ng inputs at a minimum</w:t>
      </w:r>
    </w:p>
    <w:p w14:paraId="1A8F1360" w14:textId="0537F170" w:rsidR="00D0405D" w:rsidRPr="00D0405D" w:rsidRDefault="00D0405D" w:rsidP="00D0405D">
      <w:pPr>
        <w:pStyle w:val="ListParagraph"/>
        <w:numPr>
          <w:ilvl w:val="2"/>
          <w:numId w:val="1"/>
        </w:numPr>
        <w:rPr>
          <w:rFonts w:ascii="Arial" w:hAnsi="Arial" w:cs="Arial"/>
        </w:rPr>
      </w:pPr>
      <w:r w:rsidRPr="00D0405D">
        <w:rPr>
          <w:rFonts w:ascii="Arial" w:hAnsi="Arial" w:cs="Arial"/>
        </w:rPr>
        <w:t xml:space="preserve">Tube 50 X 1 </w:t>
      </w:r>
      <w:r w:rsidRPr="00D0405D">
        <w:rPr>
          <w:rFonts w:ascii="Arial" w:hAnsi="Arial" w:cs="Arial"/>
        </w:rPr>
        <w:t>preps (</w:t>
      </w:r>
      <w:r w:rsidRPr="00D0405D">
        <w:rPr>
          <w:rFonts w:ascii="Arial" w:hAnsi="Arial" w:cs="Arial"/>
        </w:rPr>
        <w:t>EG-920-M</w:t>
      </w:r>
      <w:r w:rsidRPr="00D0405D">
        <w:rPr>
          <w:rFonts w:ascii="Arial" w:hAnsi="Arial" w:cs="Arial"/>
        </w:rPr>
        <w:t>)</w:t>
      </w:r>
      <w:r>
        <w:rPr>
          <w:rFonts w:ascii="Arial" w:hAnsi="Arial" w:cs="Arial"/>
        </w:rPr>
        <w:t xml:space="preserve"> - $</w:t>
      </w:r>
      <w:r w:rsidRPr="00D0405D">
        <w:rPr>
          <w:rFonts w:ascii="Arial" w:hAnsi="Arial" w:cs="Arial"/>
        </w:rPr>
        <w:t>78</w:t>
      </w:r>
    </w:p>
    <w:p w14:paraId="4EDB8817" w14:textId="77777777" w:rsidR="00984BA0" w:rsidRPr="00984BA0" w:rsidRDefault="00984BA0" w:rsidP="00984BA0">
      <w:pPr>
        <w:rPr>
          <w:rFonts w:ascii="Arial" w:hAnsi="Arial" w:cs="Arial"/>
        </w:rPr>
      </w:pPr>
    </w:p>
    <w:p w14:paraId="73F9C3D4" w14:textId="74AA1AD7" w:rsidR="0093271E" w:rsidRPr="004A26D8" w:rsidRDefault="0093271E" w:rsidP="0093271E">
      <w:pPr>
        <w:rPr>
          <w:rFonts w:ascii="Arial" w:hAnsi="Arial" w:cs="Arial"/>
        </w:rPr>
      </w:pPr>
      <w:r w:rsidRPr="004A26D8">
        <w:rPr>
          <w:rFonts w:ascii="Arial" w:hAnsi="Arial" w:cs="Arial"/>
        </w:rPr>
        <w:t xml:space="preserve">96-plex library prep </w:t>
      </w:r>
    </w:p>
    <w:p w14:paraId="4242479B" w14:textId="5643779B" w:rsidR="0093271E" w:rsidRPr="004A26D8" w:rsidRDefault="0093271E" w:rsidP="0093271E">
      <w:pPr>
        <w:pStyle w:val="ListParagraph"/>
        <w:numPr>
          <w:ilvl w:val="0"/>
          <w:numId w:val="1"/>
        </w:numPr>
        <w:rPr>
          <w:rFonts w:ascii="Arial" w:hAnsi="Arial" w:cs="Arial"/>
        </w:rPr>
      </w:pPr>
      <w:r w:rsidRPr="004A26D8">
        <w:rPr>
          <w:rFonts w:ascii="Arial" w:hAnsi="Arial" w:cs="Arial"/>
        </w:rPr>
        <w:t>$10 per sample</w:t>
      </w:r>
      <w:r w:rsidR="007466F3" w:rsidRPr="004A26D8">
        <w:rPr>
          <w:rFonts w:ascii="Arial" w:hAnsi="Arial" w:cs="Arial"/>
        </w:rPr>
        <w:t xml:space="preserve"> ($10,000 for the 960 sample kit</w:t>
      </w:r>
      <w:r w:rsidR="00984BA0">
        <w:rPr>
          <w:rFonts w:ascii="Arial" w:hAnsi="Arial" w:cs="Arial"/>
        </w:rPr>
        <w:t>, but there are 480 sample kits available as well</w:t>
      </w:r>
      <w:r w:rsidR="007466F3" w:rsidRPr="004A26D8">
        <w:rPr>
          <w:rFonts w:ascii="Arial" w:hAnsi="Arial" w:cs="Arial"/>
        </w:rPr>
        <w:t>)</w:t>
      </w:r>
    </w:p>
    <w:p w14:paraId="3109CEC9" w14:textId="77777777" w:rsidR="0093271E" w:rsidRPr="004A26D8" w:rsidRDefault="0093271E" w:rsidP="0093271E">
      <w:pPr>
        <w:rPr>
          <w:rFonts w:ascii="Arial" w:hAnsi="Arial" w:cs="Arial"/>
        </w:rPr>
      </w:pPr>
    </w:p>
    <w:p w14:paraId="6C8BCF3E" w14:textId="667B5E77" w:rsidR="0093271E" w:rsidRPr="004A26D8" w:rsidRDefault="0093271E" w:rsidP="0093271E">
      <w:pPr>
        <w:rPr>
          <w:rFonts w:ascii="Arial" w:hAnsi="Arial" w:cs="Arial"/>
        </w:rPr>
      </w:pPr>
      <w:proofErr w:type="spellStart"/>
      <w:r w:rsidRPr="004A26D8">
        <w:rPr>
          <w:rFonts w:ascii="Arial" w:hAnsi="Arial" w:cs="Arial"/>
        </w:rPr>
        <w:t>NovaSeq</w:t>
      </w:r>
      <w:proofErr w:type="spellEnd"/>
      <w:r w:rsidRPr="004A26D8">
        <w:rPr>
          <w:rFonts w:ascii="Arial" w:hAnsi="Arial" w:cs="Arial"/>
        </w:rPr>
        <w:t xml:space="preserve"> X Plus</w:t>
      </w:r>
    </w:p>
    <w:p w14:paraId="5CACEC6A" w14:textId="77777777" w:rsidR="00797ABD" w:rsidRDefault="0093271E" w:rsidP="00797ABD">
      <w:pPr>
        <w:pStyle w:val="ListParagraph"/>
        <w:numPr>
          <w:ilvl w:val="0"/>
          <w:numId w:val="1"/>
        </w:numPr>
        <w:rPr>
          <w:rFonts w:ascii="Arial" w:hAnsi="Arial" w:cs="Arial"/>
        </w:rPr>
      </w:pPr>
      <w:r w:rsidRPr="004A26D8">
        <w:rPr>
          <w:rFonts w:ascii="Arial" w:hAnsi="Arial" w:cs="Arial"/>
        </w:rPr>
        <w:t xml:space="preserve">$1999 per lane if we use between 8-15 lanes </w:t>
      </w:r>
      <w:r w:rsidR="004A26D8">
        <w:rPr>
          <w:rFonts w:ascii="Arial" w:hAnsi="Arial" w:cs="Arial"/>
        </w:rPr>
        <w:t>($20,000 for 10 lanes)</w:t>
      </w:r>
    </w:p>
    <w:p w14:paraId="20A9812A" w14:textId="7FF1072B" w:rsidR="007466F3" w:rsidRPr="00797ABD" w:rsidRDefault="007466F3" w:rsidP="00797ABD">
      <w:pPr>
        <w:pStyle w:val="ListParagraph"/>
        <w:numPr>
          <w:ilvl w:val="0"/>
          <w:numId w:val="1"/>
        </w:numPr>
        <w:rPr>
          <w:rFonts w:ascii="Arial" w:hAnsi="Arial" w:cs="Arial"/>
        </w:rPr>
      </w:pPr>
      <w:r w:rsidRPr="00797ABD">
        <w:rPr>
          <w:rFonts w:ascii="Arial" w:hAnsi="Arial" w:cs="Arial"/>
        </w:rPr>
        <w:t>~1x coverage</w:t>
      </w:r>
      <w:r w:rsidR="004A26D8" w:rsidRPr="00797ABD">
        <w:rPr>
          <w:rFonts w:ascii="Arial" w:hAnsi="Arial" w:cs="Arial"/>
        </w:rPr>
        <w:t xml:space="preserve"> for 96 individuals</w:t>
      </w:r>
      <w:r w:rsidR="00613B5C" w:rsidRPr="00797ABD">
        <w:rPr>
          <w:rFonts w:ascii="Arial" w:hAnsi="Arial" w:cs="Arial"/>
        </w:rPr>
        <w:t xml:space="preserve"> per lane</w:t>
      </w:r>
      <w:r w:rsidRPr="00797ABD">
        <w:rPr>
          <w:rFonts w:ascii="Arial" w:hAnsi="Arial" w:cs="Arial"/>
        </w:rPr>
        <w:t>; $30K</w:t>
      </w:r>
    </w:p>
    <w:p w14:paraId="166E2781" w14:textId="77777777" w:rsidR="004A26D8" w:rsidRDefault="004A26D8">
      <w:pPr>
        <w:rPr>
          <w:rFonts w:ascii="Arial" w:hAnsi="Arial" w:cs="Arial"/>
        </w:rPr>
      </w:pPr>
    </w:p>
    <w:p w14:paraId="07445EDA" w14:textId="77777777" w:rsidR="00613B5C" w:rsidRDefault="00613B5C" w:rsidP="007466F3">
      <w:pPr>
        <w:rPr>
          <w:rFonts w:ascii="Arial" w:hAnsi="Arial" w:cs="Arial"/>
        </w:rPr>
      </w:pPr>
    </w:p>
    <w:p w14:paraId="31B13FA4" w14:textId="0C6DE132" w:rsidR="0064381F" w:rsidRDefault="0064381F" w:rsidP="007466F3">
      <w:pPr>
        <w:rPr>
          <w:rFonts w:ascii="Arial" w:hAnsi="Arial" w:cs="Arial"/>
        </w:rPr>
      </w:pPr>
      <w:r>
        <w:rPr>
          <w:rFonts w:ascii="Arial" w:hAnsi="Arial" w:cs="Arial"/>
        </w:rPr>
        <w:t xml:space="preserve">For this initial round of sampling, we’d need: </w:t>
      </w:r>
    </w:p>
    <w:p w14:paraId="7A040EF2" w14:textId="3E96DEFF" w:rsidR="0064381F" w:rsidRDefault="0064381F" w:rsidP="0064381F">
      <w:pPr>
        <w:pStyle w:val="ListParagraph"/>
        <w:numPr>
          <w:ilvl w:val="0"/>
          <w:numId w:val="1"/>
        </w:numPr>
        <w:rPr>
          <w:rFonts w:ascii="Arial" w:hAnsi="Arial" w:cs="Arial"/>
        </w:rPr>
      </w:pPr>
      <w:r>
        <w:rPr>
          <w:rFonts w:ascii="Arial" w:hAnsi="Arial" w:cs="Arial"/>
        </w:rPr>
        <w:t>The 480 sample kit from Twist (~$5000)</w:t>
      </w:r>
    </w:p>
    <w:p w14:paraId="2B3096A3" w14:textId="7794EFEB" w:rsidR="0064381F" w:rsidRPr="00366F65" w:rsidRDefault="0064381F" w:rsidP="00366F65">
      <w:pPr>
        <w:pStyle w:val="ListParagraph"/>
        <w:numPr>
          <w:ilvl w:val="0"/>
          <w:numId w:val="1"/>
        </w:numPr>
        <w:rPr>
          <w:rFonts w:ascii="Arial" w:hAnsi="Arial" w:cs="Arial"/>
        </w:rPr>
      </w:pPr>
      <w:r>
        <w:rPr>
          <w:rFonts w:ascii="Arial" w:hAnsi="Arial" w:cs="Arial"/>
        </w:rPr>
        <w:t>3 lanes of sequencing (~$6000)</w:t>
      </w:r>
    </w:p>
    <w:sectPr w:rsidR="0064381F" w:rsidRPr="00366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D219C"/>
    <w:multiLevelType w:val="hybridMultilevel"/>
    <w:tmpl w:val="EBDCF778"/>
    <w:lvl w:ilvl="0" w:tplc="25B4F3B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F5820"/>
    <w:multiLevelType w:val="hybridMultilevel"/>
    <w:tmpl w:val="886648D0"/>
    <w:lvl w:ilvl="0" w:tplc="024A0AC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7184884">
    <w:abstractNumId w:val="1"/>
  </w:num>
  <w:num w:numId="2" w16cid:durableId="1574701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71E"/>
    <w:rsid w:val="0000142F"/>
    <w:rsid w:val="00124EA2"/>
    <w:rsid w:val="001A13A3"/>
    <w:rsid w:val="001C1664"/>
    <w:rsid w:val="001C7ED8"/>
    <w:rsid w:val="001D2728"/>
    <w:rsid w:val="00283680"/>
    <w:rsid w:val="002B424B"/>
    <w:rsid w:val="002B5DDE"/>
    <w:rsid w:val="00312BC2"/>
    <w:rsid w:val="00360916"/>
    <w:rsid w:val="00366F65"/>
    <w:rsid w:val="003750C9"/>
    <w:rsid w:val="00387C8A"/>
    <w:rsid w:val="00406531"/>
    <w:rsid w:val="004A26D8"/>
    <w:rsid w:val="00533938"/>
    <w:rsid w:val="005449A7"/>
    <w:rsid w:val="00613B5C"/>
    <w:rsid w:val="0064381F"/>
    <w:rsid w:val="00681C93"/>
    <w:rsid w:val="006A788A"/>
    <w:rsid w:val="00724910"/>
    <w:rsid w:val="00734B35"/>
    <w:rsid w:val="007466F3"/>
    <w:rsid w:val="007643C4"/>
    <w:rsid w:val="00771BD8"/>
    <w:rsid w:val="00797ABD"/>
    <w:rsid w:val="007D75C9"/>
    <w:rsid w:val="00860468"/>
    <w:rsid w:val="008910F7"/>
    <w:rsid w:val="008C5D99"/>
    <w:rsid w:val="00914C89"/>
    <w:rsid w:val="0093271E"/>
    <w:rsid w:val="00976774"/>
    <w:rsid w:val="00984BA0"/>
    <w:rsid w:val="009970AE"/>
    <w:rsid w:val="009A5FB5"/>
    <w:rsid w:val="009B7CA4"/>
    <w:rsid w:val="009D3883"/>
    <w:rsid w:val="009D3A0D"/>
    <w:rsid w:val="009F537F"/>
    <w:rsid w:val="00A01F4F"/>
    <w:rsid w:val="00A4298C"/>
    <w:rsid w:val="00AA6A20"/>
    <w:rsid w:val="00B434F0"/>
    <w:rsid w:val="00B84EB1"/>
    <w:rsid w:val="00C531D5"/>
    <w:rsid w:val="00C54575"/>
    <w:rsid w:val="00C566FC"/>
    <w:rsid w:val="00CC6BB9"/>
    <w:rsid w:val="00D0405D"/>
    <w:rsid w:val="00D510FE"/>
    <w:rsid w:val="00D75162"/>
    <w:rsid w:val="00E3486D"/>
    <w:rsid w:val="00E62BDF"/>
    <w:rsid w:val="00E936B4"/>
    <w:rsid w:val="00F310F9"/>
    <w:rsid w:val="00F65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C71C5F"/>
  <w15:chartTrackingRefBased/>
  <w15:docId w15:val="{61862F25-A1C5-E74C-888C-BC69FB058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71E"/>
    <w:pPr>
      <w:ind w:left="720"/>
      <w:contextualSpacing/>
    </w:pPr>
  </w:style>
  <w:style w:type="table" w:styleId="TableGrid">
    <w:name w:val="Table Grid"/>
    <w:basedOn w:val="TableNormal"/>
    <w:uiPriority w:val="39"/>
    <w:rsid w:val="00312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81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Sasaki, Matthew</dc:creator>
  <cp:keywords/>
  <dc:description/>
  <cp:lastModifiedBy>Sasaki, Matthew</cp:lastModifiedBy>
  <cp:revision>38</cp:revision>
  <dcterms:created xsi:type="dcterms:W3CDTF">2023-06-21T17:16:00Z</dcterms:created>
  <dcterms:modified xsi:type="dcterms:W3CDTF">2023-06-29T16:27:00Z</dcterms:modified>
</cp:coreProperties>
</file>