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rPr>
          <w:iCs/>
          <w:i/>
        </w:rPr>
        <w:t xml:space="preserve">Acartia</w:t>
      </w:r>
      <w:r>
        <w:rPr>
          <w:iCs/>
          <w:i/>
        </w:rPr>
        <w:t xml:space="preserve"> </w:t>
      </w:r>
      <w:r>
        <w:rPr>
          <w:iCs/>
          <w:i/>
        </w:rPr>
        <w:t xml:space="preserve">tonsa</w:t>
      </w:r>
      <w:r>
        <w:t xml:space="preserve">,</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(Brown et al. 2004; Johnston, Clark, and Bruno 2022)</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(Hobday et al. 2016; Oliver et al. 2018; Smale et al. 2019; Harvey et al. 2022; Johnston, Clark, and Bruno 2022; Li and Donner 2022)</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 Mitchell et al. 2017; Gotcha, Terblanche, and Nyamukondiwa 2018; Manenti et al. 2018)</w:t>
      </w:r>
      <w:r>
        <w:t xml:space="preserve">, Coleoptera</w:t>
      </w:r>
      <w:r>
        <w:t xml:space="preserve"> </w:t>
      </w:r>
      <w:r>
        <w:t xml:space="preserve">(Scharf et al. 2016; Chidawanyika et al. 2017)</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(Mir and Qamar 2018; Mutamiswa, Chidawanyika, and Nyamukondiwa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(DeVries, Kells, and Appel 2016; Gonzalez et al. 2022)</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(Bubliy et al. 2011; Kalra, Tamang, and Parkash 2017; Gotcha, Terblanche, and Nyamukondiwa 2018)</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Brun et al. 2019; Pinti et al. 2023)</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(Sasaki and Dam 2021b)</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(Sasaki, Woods, and Dam 2023)</w:t>
      </w:r>
      <w:r>
        <w:t xml:space="preserve">. Briefly, this set up includes a reservoir, water bath, and temperature logger. The reservoir (a five gallon bucket) holds ~15L of water, along with a 500-watt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286000" cy="2286000"/>
            <wp:effectExtent b="0" l="0" r="0" t="0"/>
            <wp:docPr descr="Estimation plots showing the effect of different diet treatments on thermal limits. Measurements were taken after 24 hours, and show that thermal limits were not altered by short exposure to the different die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286000" cy="228600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Measurements were taken after 24 hours, and show that thermal limits were not altered by short exposure to the different diets.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(Jiang et al. 2009; Harada and Burton 2019; Sasaki and Dam 2021a)</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Thermal limits are not correlated with body size on any of the experimental days."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Thermal limits are not correlated with body size on any of the experimental days.</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Kiørboe, Møhlenberg, and Hamburger 1985; Thor 2003)</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 Turner 1981; J. Turner 2004)</w:t>
      </w:r>
      <w:r>
        <w:t xml:space="preserve">. It is well known that phenotypic plasticity and genetic differentiation both affect the upper thermal limits in this species</w:t>
      </w:r>
      <w:r>
        <w:t xml:space="preserve"> </w:t>
      </w:r>
      <w:r>
        <w:t xml:space="preserve">(Sasaki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(Vidal 1980; Hirst, Roff, and Lampitt 2003)</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Taucher and Oschlies 2011; Archibald et al. 2022)</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w:t>
      </w:r>
      <w:r>
        <w:t xml:space="preserve"> </w:t>
      </w:r>
      <w:r>
        <w:rPr>
          <w:iCs/>
          <w:i/>
        </w:rPr>
        <w:t xml:space="preserve">Acartia</w:t>
      </w:r>
      <w:r>
        <w:t xml:space="preserve"> </w:t>
      </w:r>
      <w:r>
        <w:t xml:space="preserve">Populations to Environmental Variability and Effects of Invasive Congenerics in the Estuary of</w:t>
      </w:r>
      <w:r>
        <w:t xml:space="preserve"> </w:t>
      </w:r>
      <w:r>
        <w:t xml:space="preserve">B</w:t>
      </w:r>
      <w:r>
        <w:t xml:space="preserve">ilbao,</w:t>
      </w:r>
      <w:r>
        <w:t xml:space="preserve"> </w:t>
      </w:r>
      <w:r>
        <w:t xml:space="preserve">B</w:t>
      </w:r>
      <w:r>
        <w:t xml:space="preserve">ay of</w:t>
      </w:r>
      <w:r>
        <w:t xml:space="preserve"> </w:t>
      </w:r>
      <w:r>
        <w:t xml:space="preserve">B</w:t>
      </w:r>
      <w:r>
        <w:t xml:space="preserve">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 e2022JC018932.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w:t>
      </w:r>
      <w:r>
        <w:t xml:space="preserve"> </w:t>
      </w:r>
      <w:r>
        <w:t xml:space="preserve">N</w:t>
      </w:r>
      <w:r>
        <w:t xml:space="preserve">orth</w:t>
      </w:r>
      <w:r>
        <w:t xml:space="preserve"> </w:t>
      </w:r>
      <w:r>
        <w:t xml:space="preserve">A</w:t>
      </w:r>
      <w:r>
        <w:t xml:space="preserve">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t xml:space="preserve"> </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w:t>
      </w:r>
      <w:r>
        <w:t xml:space="preserve"> </w:t>
      </w:r>
      <w:r>
        <w:t xml:space="preserve">P</w:t>
      </w:r>
      <w:r>
        <w:t xml:space="preserve">arthenium Beetle</w:t>
      </w:r>
      <w:r>
        <w:t xml:space="preserve"> </w:t>
      </w:r>
      <w:r>
        <w:rPr>
          <w:iCs/>
          <w:i/>
        </w:rPr>
        <w:t xml:space="preserve">Zygogramma Bicolorata</w:t>
      </w:r>
      <w:r>
        <w:t xml:space="preserve"> </w:t>
      </w:r>
      <w:r>
        <w:t xml:space="preserve">(</w:t>
      </w:r>
      <w:r>
        <w:t xml:space="preserve">C</w:t>
      </w:r>
      <w:r>
        <w:t xml:space="preserve">oleoptera:</w:t>
      </w:r>
      <w:r>
        <w:t xml:space="preserve"> </w:t>
      </w:r>
      <w:r>
        <w:t xml:space="preserve">C</w:t>
      </w:r>
      <w:r>
        <w:t xml:space="preserve">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w:t>
      </w:r>
      <w:r>
        <w:t xml:space="preserve">CT</w:t>
      </w:r>
      <w:r>
        <w:t xml:space="preserve">max) of Bed Bugs,</w:t>
      </w:r>
      <w:r>
        <w:t xml:space="preserve"> </w:t>
      </w:r>
      <w:r>
        <w:rPr>
          <w:iCs/>
          <w:i/>
        </w:rPr>
        <w:t xml:space="preserve">Cimex Lectularius</w:t>
      </w:r>
      <w:r>
        <w:t xml:space="preserve">: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t xml:space="preserve"> </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w:t>
      </w:r>
      <w:r>
        <w:t xml:space="preserve"> </w:t>
      </w:r>
      <w:r>
        <w:rPr>
          <w:iCs/>
          <w:i/>
        </w:rPr>
        <w:t xml:space="preserve">Acartia Tonsa</w:t>
      </w:r>
      <w:r>
        <w:t xml:space="preserve">.”</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w:t>
      </w:r>
      <w:r>
        <w:t xml:space="preserve"> </w:t>
      </w:r>
      <w:r>
        <w:t xml:space="preserve">A</w:t>
      </w:r>
      <w:r>
        <w:t xml:space="preserve">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w:t>
      </w:r>
      <w:r>
        <w:t xml:space="preserve"> </w:t>
      </w:r>
      <w:r>
        <w:t xml:space="preserve">A</w:t>
      </w:r>
      <w:r>
        <w:t xml:space="preserve">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w:t>
      </w:r>
      <w:r>
        <w:t xml:space="preserve"> </w:t>
      </w:r>
      <w:r>
        <w:t xml:space="preserve">S</w:t>
      </w:r>
      <w:r>
        <w:t xml:space="preserve">agami</w:t>
      </w:r>
      <w:r>
        <w:t xml:space="preserve"> </w:t>
      </w:r>
      <w:r>
        <w:t xml:space="preserve">B</w:t>
      </w:r>
      <w:r>
        <w:t xml:space="preserve">ay,</w:t>
      </w:r>
      <w:r>
        <w:t xml:space="preserve"> </w:t>
      </w:r>
      <w:r>
        <w:t xml:space="preserve">J</w:t>
      </w:r>
      <w:r>
        <w:t xml:space="preserve">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edited by A. J. Southward, P. A. Tyler, C. M. Young, and L. A. Fuiman, 44:1–142. Advances in Marine Biology. Academic Press.</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w:t>
      </w:r>
      <w:r>
        <w:t xml:space="preserve"> </w:t>
      </w:r>
      <w:r>
        <w:t xml:space="preserve">P</w:t>
      </w:r>
      <w:r>
        <w:t xml:space="preserve"> </w:t>
      </w:r>
      <w:r>
        <w:t xml:space="preserve">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w:t>
      </w:r>
      <w:r>
        <w:t xml:space="preserve"> </w:t>
      </w:r>
      <w:r>
        <w:rPr>
          <w:iCs/>
          <w:i/>
        </w:rPr>
        <w:t xml:space="preserve">Acartia Tonsa</w:t>
      </w:r>
      <w:r>
        <w:t xml:space="preserve">.”</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w:t>
      </w:r>
      <w:r>
        <w:t xml:space="preserve"> </w:t>
      </w:r>
      <w:r>
        <w:rPr>
          <w:iCs/>
          <w:i/>
        </w:rPr>
        <w:t xml:space="preserve">Zaprionus Indianus</w:t>
      </w:r>
      <w:r>
        <w:t xml:space="preserve">.”</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w:t>
      </w:r>
      <w:r>
        <w:t xml:space="preserve"> </w:t>
      </w:r>
      <w:r>
        <w:rPr>
          <w:iCs/>
          <w:i/>
        </w:rPr>
        <w:t xml:space="preserve">Acartia Tonsa</w:t>
      </w:r>
      <w:r>
        <w:t xml:space="preserve">: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w:t>
      </w:r>
      <w:r>
        <w:t xml:space="preserve"> </w:t>
      </w:r>
      <w:r>
        <w:rPr>
          <w:iCs/>
          <w:i/>
        </w:rPr>
        <w:t xml:space="preserve">Drosophila</w:t>
      </w:r>
      <w:r>
        <w:t xml:space="preserve">.”</w:t>
      </w:r>
      <w:r>
        <w:t xml:space="preserve"> </w:t>
      </w:r>
      <w:r>
        <w:rPr>
          <w:iCs/>
          <w:i/>
        </w:rPr>
        <w:t xml:space="preserve">Scientific Reports</w:t>
      </w:r>
      <w:r>
        <w:t xml:space="preserve"> </w:t>
      </w:r>
      <w:r>
        <w:t xml:space="preserve">6 (September): 33667.</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w:t>
      </w:r>
      <w:r>
        <w:t xml:space="preserve"> </w:t>
      </w:r>
      <w:r>
        <w:rPr>
          <w:iCs/>
          <w:i/>
        </w:rPr>
        <w:t xml:space="preserve">Drosophila Melanogaster</w:t>
      </w:r>
      <w:r>
        <w:t xml:space="preserve"> </w:t>
      </w:r>
      <w:r>
        <w:t xml:space="preserve">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w:t>
      </w:r>
      <w:r>
        <w:t xml:space="preserve"> </w:t>
      </w:r>
      <w:r>
        <w:rPr>
          <w:iCs/>
          <w:i/>
        </w:rPr>
        <w:t xml:space="preserve">Bombyx Mori</w:t>
      </w:r>
      <w:r>
        <w:t xml:space="preserve">: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w:t>
      </w:r>
      <w:r>
        <w:t xml:space="preserve"> </w:t>
      </w:r>
      <w:r>
        <w:rPr>
          <w:iCs/>
          <w:i/>
        </w:rPr>
        <w:t xml:space="preserve">Chilo Partellus</w:t>
      </w:r>
      <w:r>
        <w:t xml:space="preserve"> </w:t>
      </w:r>
      <w:r>
        <w:t xml:space="preserve">S</w:t>
      </w:r>
      <w:r>
        <w:t xml:space="preserve">winhoe over Indigenous</w:t>
      </w:r>
      <w:r>
        <w:t xml:space="preserve"> </w:t>
      </w:r>
      <w:r>
        <w:rPr>
          <w:iCs/>
          <w:i/>
        </w:rPr>
        <w:t xml:space="preserve">Busseola Fusca</w:t>
      </w:r>
      <w:r>
        <w:t xml:space="preserve"> </w:t>
      </w:r>
      <w:r>
        <w:t xml:space="preserve">(</w:t>
      </w:r>
      <w:r>
        <w:t xml:space="preserve">F</w:t>
      </w:r>
      <w:r>
        <w:t xml:space="preserve">uller) and</w:t>
      </w:r>
      <w:r>
        <w:t xml:space="preserve"> </w:t>
      </w:r>
      <w:r>
        <w:rPr>
          <w:iCs/>
          <w:i/>
        </w:rPr>
        <w:t xml:space="preserve">Sesamia Calamistis</w:t>
      </w:r>
      <w:r>
        <w:t xml:space="preserve"> </w:t>
      </w:r>
      <w:r>
        <w:t xml:space="preserve">H</w:t>
      </w:r>
      <w:r>
        <w:t xml:space="preserve">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(December):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w:t>
      </w:r>
      <w:r>
        <w:t xml:space="preserve"> </w:t>
      </w:r>
      <w:r>
        <w:rPr>
          <w:iCs/>
          <w:i/>
        </w:rPr>
        <w:t xml:space="preserve">Acartia Tonsa</w:t>
      </w:r>
      <w:r>
        <w:t xml:space="preserve"> </w:t>
      </w:r>
      <w:r>
        <w:t xml:space="preserve">(</w:t>
      </w:r>
      <w:r>
        <w:t xml:space="preserve">C</w:t>
      </w:r>
      <w:r>
        <w:t xml:space="preserve">opepoda:</w:t>
      </w:r>
      <w:r>
        <w:t xml:space="preserve"> </w:t>
      </w:r>
      <w:r>
        <w:t xml:space="preserve">C</w:t>
      </w:r>
      <w:r>
        <w:t xml:space="preserve">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68 (5): 1147–60.</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w:t>
      </w:r>
      <w:r>
        <w:t xml:space="preserve"> </w:t>
      </w:r>
      <w:r>
        <w:rPr>
          <w:iCs/>
          <w:i/>
        </w:rPr>
        <w:t xml:space="preserve">Acartia Tonsa</w:t>
      </w:r>
      <w:r>
        <w:t xml:space="preserve"> </w:t>
      </w:r>
      <w:r>
        <w:t xml:space="preserve">in</w:t>
      </w:r>
      <w:r>
        <w:t xml:space="preserve"> </w:t>
      </w:r>
      <w:r>
        <w:t xml:space="preserve">C</w:t>
      </w:r>
      <w:r>
        <w:t xml:space="preserve">hesapeake</w:t>
      </w:r>
      <w:r>
        <w:t xml:space="preserve"> </w:t>
      </w:r>
      <w:r>
        <w:t xml:space="preserve">B</w:t>
      </w:r>
      <w:r>
        <w:t xml:space="preserve">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21"/>
    <w:p>
      <w:pPr>
        <w:pStyle w:val="Bibliography"/>
      </w:pPr>
      <w:r>
        <w:t xml:space="preserve">Sasaki, Matthew C., and Hans G Dam. 2021a.</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18">
        <w:r>
          <w:rPr>
            <w:rStyle w:val="Hyperlink"/>
          </w:rPr>
          <w:t xml:space="preserve">https://doi.org/10.1093/plankt/fbab044</w:t>
        </w:r>
      </w:hyperlink>
      <w:r>
        <w:t xml:space="preserve">.</w:t>
      </w:r>
    </w:p>
    <w:bookmarkEnd w:id="119"/>
    <w:bookmarkStart w:id="121"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20">
        <w:r>
          <w:rPr>
            <w:rStyle w:val="Hyperlink"/>
          </w:rPr>
          <w:t xml:space="preserve">https://doi.org/10.1111/gcb.14811</w:t>
        </w:r>
      </w:hyperlink>
      <w:r>
        <w:t xml:space="preserve">.</w:t>
      </w:r>
    </w:p>
    <w:bookmarkEnd w:id="121"/>
    <w:bookmarkStart w:id="123" w:name="ref-sasaki2021a"/>
    <w:p>
      <w:pPr>
        <w:pStyle w:val="Bibliography"/>
      </w:pPr>
      <w:r>
        <w:t xml:space="preserve">———. 2021b.</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2">
        <w:r>
          <w:rPr>
            <w:rStyle w:val="Hyperlink"/>
          </w:rPr>
          <w:t xml:space="preserve">https://doi.org/10.1111/eva.13270</w:t>
        </w:r>
      </w:hyperlink>
      <w:r>
        <w:t xml:space="preserve">.</w:t>
      </w:r>
    </w:p>
    <w:bookmarkEnd w:id="123"/>
    <w:bookmarkStart w:id="125" w:name="ref-sasaki2019a"/>
    <w:p>
      <w:pPr>
        <w:pStyle w:val="Bibliography"/>
      </w:pPr>
      <w:r>
        <w:t xml:space="preserve">Sasaki, Matthew C.,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 Charles Woods, and Hans G. Dam. 2023.</w:t>
      </w:r>
      <w:r>
        <w:t xml:space="preserve"> </w:t>
      </w:r>
      <w:r>
        <w:t xml:space="preserve">“Parasitism Does Not Reduce Thermal Limits in the Intermediate Host of a Bopyrid Isopod.”</w:t>
      </w:r>
      <w:r>
        <w:t xml:space="preserve"> </w:t>
      </w:r>
      <w:r>
        <w:rPr>
          <w:iCs/>
          <w:i/>
        </w:rPr>
        <w:t xml:space="preserve">BioRxiv</w:t>
      </w:r>
      <w:r>
        <w:t xml:space="preserve">, April.</w:t>
      </w:r>
      <w:r>
        <w:t xml:space="preserve"> </w:t>
      </w:r>
      <w:hyperlink r:id="rId126">
        <w:r>
          <w:rPr>
            <w:rStyle w:val="Hyperlink"/>
          </w:rPr>
          <w:t xml:space="preserve">https://doi.org/10.1101/2023.03.31.535176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w:t>
      </w:r>
      <w:r>
        <w:t xml:space="preserve"> </w:t>
      </w:r>
      <w:r>
        <w:rPr>
          <w:iCs/>
          <w:i/>
        </w:rPr>
        <w:t xml:space="preserve">Tribolium Castaneum</w:t>
      </w:r>
      <w:r>
        <w:t xml:space="preserve">.”</w:t>
      </w:r>
      <w:r>
        <w:t xml:space="preserve"> </w:t>
      </w:r>
      <w:r>
        <w:rPr>
          <w:iCs/>
          <w:i/>
        </w:rPr>
        <w:t xml:space="preserve">The Science of Nature</w:t>
      </w:r>
      <w:r>
        <w:t xml:space="preserve"> </w:t>
      </w:r>
      <w:r>
        <w:t xml:space="preserve">103 (February):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w:t>
      </w:r>
      <w:r>
        <w:t xml:space="preserve">NIH</w:t>
      </w:r>
      <w:r>
        <w:t xml:space="preserve"> </w:t>
      </w:r>
      <w:r>
        <w:t xml:space="preserve">I</w:t>
      </w:r>
      <w:r>
        <w:t xml:space="preserve">mage to</w:t>
      </w:r>
      <w:r>
        <w:t xml:space="preserve"> </w:t>
      </w:r>
      <w:r>
        <w:t xml:space="preserve">ImageJ</w:t>
      </w:r>
      <w:r>
        <w:t xml:space="preserve">: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w:t>
      </w:r>
      <w:r>
        <w:t xml:space="preserve"> </w:t>
      </w:r>
      <w:r>
        <w:rPr>
          <w:iCs/>
          <w:i/>
        </w:rPr>
        <w:t xml:space="preserve">Acartia Tonsa</w:t>
      </w:r>
      <w:r>
        <w:t xml:space="preserve"> </w:t>
      </w:r>
      <w:r>
        <w:t xml:space="preserve">and</w:t>
      </w:r>
      <w:r>
        <w:t xml:space="preserve"> </w:t>
      </w:r>
      <w:r>
        <w:rPr>
          <w:iCs/>
          <w:i/>
        </w:rPr>
        <w:t xml:space="preserve">Oithona Davisae</w:t>
      </w:r>
      <w:r>
        <w:t xml:space="preserve"> </w:t>
      </w:r>
      <w:r>
        <w:t xml:space="preserve">in the</w:t>
      </w:r>
      <w:r>
        <w:t xml:space="preserve"> </w:t>
      </w:r>
      <w:r>
        <w:t xml:space="preserve">Black Sea</w:t>
      </w:r>
      <w:r>
        <w:t xml:space="preserve">.”</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 L02603.</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w:t>
      </w:r>
      <w:r>
        <w:t xml:space="preserve"> </w:t>
      </w:r>
      <w:r>
        <w:rPr>
          <w:iCs/>
          <w:i/>
        </w:rPr>
        <w:t xml:space="preserve">Acartia Tonsa</w:t>
      </w:r>
      <w:r>
        <w:t xml:space="preserve"> </w:t>
      </w:r>
      <w:r>
        <w:t xml:space="preserve">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369–82.</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Farı́as. 2018.</w:t>
      </w:r>
      <w:r>
        <w:t xml:space="preserve"> </w:t>
      </w:r>
      <w:r>
        <w:t xml:space="preserve">“Thermal Tolerance of Paralarvae of</w:t>
      </w:r>
      <w:r>
        <w:t xml:space="preserve"> </w:t>
      </w:r>
      <w:r>
        <w:t xml:space="preserve">P</w:t>
      </w:r>
      <w:r>
        <w:t xml:space="preserve">atagonian Red Octopus</w:t>
      </w:r>
      <w:r>
        <w:t xml:space="preserve"> </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w:t>
      </w:r>
      <w:r>
        <w:t xml:space="preserve"> </w:t>
      </w:r>
      <w:r>
        <w:rPr>
          <w:iCs/>
          <w:i/>
        </w:rPr>
        <w:t xml:space="preserve">Calanus Pacificus</w:t>
      </w:r>
      <w:r>
        <w:t xml:space="preserve"> </w:t>
      </w:r>
      <w:r>
        <w:t xml:space="preserve">and</w:t>
      </w:r>
      <w:r>
        <w:t xml:space="preserve"> </w:t>
      </w:r>
      <w:r>
        <w:rPr>
          <w:iCs/>
          <w:i/>
        </w:rPr>
        <w:t xml:space="preserve">Pseudocalanus Sp.</w:t>
      </w:r>
      <w:r>
        <w:t xml:space="preserve">”</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2023-06-11T14:12:09Z</dcterms:created>
  <dcterms:modified xsi:type="dcterms:W3CDTF">2023-06-11T14:12:09Z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June 11,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