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WHITE LABEL PARTNER AGREEMENT</w:t>
      </w:r>
    </w:p>
    <w:p>
      <w:pPr>
        <w:spacing w:after="240"/>
        <w:jc w:val="center"/>
      </w:pPr>
      <w:r>
        <w:rPr>
          <w:rFonts w:ascii="Calibri" w:cs="Calibri" w:eastAsia="Calibri" w:hAnsi="Calibri"/>
          <w:color w:val="595959"/>
          <w:sz w:val="22"/>
          <w:szCs w:val="22"/>
        </w:rPr>
        <w:t xml:space="preserve">Fundhub LLC</w:t>
      </w:r>
    </w:p>
    <w:p>
      <w:pPr>
        <w:pBdr>
          <w:bottom w:val="single" w:color="BFBFBF" w:sz="6" w:space="6"/>
        </w:pBdr>
        <w:spacing w:after="220" w:before="120"/>
      </w:pPr>
      <w:r>
        <w:rPr>
          <w:rFonts w:ascii="Calibri" w:cs="Calibri" w:eastAsia="Calibri" w:hAnsi="Calibri"/>
          <w:sz w:val="2"/>
          <w:szCs w:val="2"/>
        </w:rPr>
        <w:t xml:space="preserve"/>
      </w:r>
    </w:p>
    <w:p>
      <w:pPr>
        <w:spacing w:after="160" w:line="276"/>
      </w:pPr>
      <w:r>
        <w:rPr>
          <w:rFonts w:ascii="Calibri" w:cs="Calibri" w:eastAsia="Calibri" w:hAnsi="Calibri"/>
          <w:sz w:val="21"/>
          <w:szCs w:val="21"/>
        </w:rPr>
        <w:t xml:space="preserve">This White Label Partner Agreement (this </w:t>
      </w:r>
      <w:r>
        <w:rPr>
          <w:rFonts w:ascii="Calibri" w:cs="Calibri" w:eastAsia="Calibri" w:hAnsi="Calibri"/>
          <w:b/>
          <w:bCs/>
          <w:sz w:val="21"/>
          <w:szCs w:val="21"/>
        </w:rPr>
        <w:t xml:space="preserve">“Agreement”</w:t>
      </w:r>
      <w:r>
        <w:rPr>
          <w:rFonts w:ascii="Calibri" w:cs="Calibri" w:eastAsia="Calibri" w:hAnsi="Calibri"/>
          <w:sz w:val="21"/>
          <w:szCs w:val="21"/>
        </w:rPr>
        <w:t xml:space="preserve">) is entered into as of </w:t>
      </w:r>
      <w:r>
        <w:rPr>
          <w:rFonts w:ascii="Calibri" w:cs="Calibri" w:eastAsia="Calibri" w:hAnsi="Calibri"/>
          <w:b/>
          <w:bCs/>
          <w:sz w:val="21"/>
          <w:szCs w:val="21"/>
        </w:rPr>
        <w:t xml:space="preserve">[EFFECTIVE DATE]</w:t>
      </w:r>
      <w:r>
        <w:rPr>
          <w:rFonts w:ascii="Calibri" w:cs="Calibri" w:eastAsia="Calibri" w:hAnsi="Calibri"/>
          <w:sz w:val="21"/>
          <w:szCs w:val="21"/>
        </w:rPr>
        <w:t xml:space="preserve"> (the </w:t>
      </w:r>
      <w:r>
        <w:rPr>
          <w:rFonts w:ascii="Calibri" w:cs="Calibri" w:eastAsia="Calibri" w:hAnsi="Calibri"/>
          <w:b/>
          <w:bCs/>
          <w:sz w:val="21"/>
          <w:szCs w:val="21"/>
        </w:rPr>
        <w:t xml:space="preserve">“Effective Date”</w:t>
      </w:r>
      <w:r>
        <w:rPr>
          <w:rFonts w:ascii="Calibri" w:cs="Calibri" w:eastAsia="Calibri" w:hAnsi="Calibri"/>
          <w:sz w:val="21"/>
          <w:szCs w:val="21"/>
        </w:rPr>
        <w:t xml:space="preserve">) by and between:</w:t>
      </w:r>
    </w:p>
    <w:p>
      <w:pPr>
        <w:spacing w:after="160" w:line="276"/>
        <w:ind w:left="480"/>
      </w:pPr>
      <w:r>
        <w:rPr>
          <w:rFonts w:ascii="Calibri" w:cs="Calibri" w:eastAsia="Calibri" w:hAnsi="Calibri"/>
          <w:b/>
          <w:bCs/>
          <w:sz w:val="21"/>
          <w:szCs w:val="21"/>
        </w:rPr>
        <w:t xml:space="preserve">Fundhub LLC</w:t>
      </w:r>
      <w:r>
        <w:rPr>
          <w:rFonts w:ascii="Calibri" w:cs="Calibri" w:eastAsia="Calibri" w:hAnsi="Calibri"/>
          <w:sz w:val="21"/>
          <w:szCs w:val="21"/>
        </w:rPr>
        <w:t xml:space="preserve">, a Florida limited liability company with its principal place of business at 218 Bostick Rd 64, Bowling Green, FL 33834 (“Fundhub”); and</w:t>
      </w:r>
    </w:p>
    <w:p>
      <w:pPr>
        <w:spacing w:after="160" w:line="276"/>
        <w:ind w:left="480"/>
      </w:pPr>
      <w:r>
        <w:rPr>
          <w:rFonts w:ascii="Calibri" w:cs="Calibri" w:eastAsia="Calibri" w:hAnsi="Calibri"/>
          <w:b/>
          <w:bCs/>
          <w:sz w:val="21"/>
          <w:szCs w:val="21"/>
        </w:rPr>
        <w:t xml:space="preserve">[PARTNER LEGAL NAME]</w:t>
      </w:r>
      <w:r>
        <w:rPr>
          <w:rFonts w:ascii="Calibri" w:cs="Calibri" w:eastAsia="Calibri" w:hAnsi="Calibri"/>
          <w:sz w:val="21"/>
          <w:szCs w:val="21"/>
        </w:rPr>
        <w:t xml:space="preserve">, a [STATE] [ENTITY TYPE] with its principal place of business at [PARTNER ADDRESS] (“Partner”).</w:t>
      </w:r>
    </w:p>
    <w:p>
      <w:pPr>
        <w:spacing w:after="160" w:line="276"/>
      </w:pPr>
      <w:r>
        <w:rPr>
          <w:rFonts w:ascii="Calibri" w:cs="Calibri" w:eastAsia="Calibri" w:hAnsi="Calibri"/>
          <w:sz w:val="21"/>
          <w:szCs w:val="21"/>
        </w:rPr>
        <w:t xml:space="preserve">Fundhub and Partner are each a “Party” and together the “Parties.”</w:t>
      </w:r>
    </w:p>
    <w:p>
      <w:pPr>
        <w:pStyle w:val="Heading1"/>
        <w:spacing w:after="140" w:before="320"/>
      </w:pPr>
      <w:r>
        <w:rPr>
          <w:rFonts w:ascii="Calibri" w:cs="Calibri" w:eastAsia="Calibri" w:hAnsi="Calibri"/>
          <w:b/>
          <w:bCs/>
          <w:color w:val="1A1A1A"/>
          <w:sz w:val="24"/>
          <w:szCs w:val="24"/>
        </w:rPr>
        <w:t xml:space="preserve">Background</w:t>
      </w:r>
    </w:p>
    <w:p>
      <w:pPr>
        <w:spacing w:after="160" w:line="276"/>
      </w:pPr>
      <w:r>
        <w:rPr>
          <w:rFonts w:ascii="Calibri" w:cs="Calibri" w:eastAsia="Calibri" w:hAnsi="Calibri"/>
          <w:sz w:val="21"/>
          <w:szCs w:val="21"/>
        </w:rPr>
        <w:t xml:space="preserve">Fundhub operates a client acquisition and fulfillment platform for business funding readiness, credit education, and related services. Partner has an audience, client base, or marketing capability and wishes to offer Fundhub’s services to that audience without building or staffing its own fulfillment operation.</w:t>
      </w:r>
    </w:p>
    <w:p>
      <w:pPr>
        <w:spacing w:after="160" w:line="276"/>
      </w:pPr>
      <w:r>
        <w:rPr>
          <w:rFonts w:ascii="Calibri" w:cs="Calibri" w:eastAsia="Calibri" w:hAnsi="Calibri"/>
          <w:sz w:val="21"/>
          <w:szCs w:val="21"/>
        </w:rPr>
        <w:t xml:space="preserve">Partner refers clients. Fundhub performs the work and collects payment. The Parties share the resulting revenue equally. Partner may also engage Fundhub to manage Partner’s paid advertising, on the separate terms in Schedule B.</w:t>
      </w:r>
    </w:p>
    <w:p>
      <w:pPr>
        <w:spacing w:after="160" w:line="276"/>
      </w:pPr>
      <w:r>
        <w:rPr>
          <w:rFonts w:ascii="Calibri" w:cs="Calibri" w:eastAsia="Calibri" w:hAnsi="Calibri"/>
          <w:sz w:val="21"/>
          <w:szCs w:val="21"/>
        </w:rPr>
        <w:t xml:space="preserve">The Parties agree as follows.</w:t>
      </w:r>
    </w:p>
    <w:p>
      <w:pPr>
        <w:pStyle w:val="Heading1"/>
        <w:spacing w:after="140" w:before="320"/>
      </w:pPr>
      <w:r>
        <w:rPr>
          <w:rFonts w:ascii="Calibri" w:cs="Calibri" w:eastAsia="Calibri" w:hAnsi="Calibri"/>
          <w:b/>
          <w:bCs/>
          <w:color w:val="1A1A1A"/>
          <w:sz w:val="24"/>
          <w:szCs w:val="24"/>
        </w:rPr>
        <w:t xml:space="preserve">1. Definitions</w:t>
      </w:r>
    </w:p>
    <w:p>
      <w:pPr>
        <w:spacing w:after="140" w:line="276"/>
        <w:ind w:left="480" w:hanging="480"/>
      </w:pPr>
      <w:r>
        <w:rPr>
          <w:rFonts w:ascii="Calibri" w:cs="Calibri" w:eastAsia="Calibri" w:hAnsi="Calibri"/>
          <w:b/>
          <w:bCs/>
          <w:sz w:val="21"/>
          <w:szCs w:val="21"/>
        </w:rPr>
        <w:t xml:space="preserve">1.1 </w:t>
      </w:r>
      <w:r>
        <w:rPr>
          <w:rFonts w:ascii="Calibri" w:cs="Calibri" w:eastAsia="Calibri" w:hAnsi="Calibri"/>
          <w:sz w:val="21"/>
          <w:szCs w:val="21"/>
        </w:rPr>
        <w:t xml:space="preserve">“Services” means the client-facing services listed in Schedule A, as Fundhub may update Schedule A from time to time on thirty (30) days’ written notice to Partner.</w:t>
      </w:r>
    </w:p>
    <w:p>
      <w:pPr>
        <w:spacing w:after="140" w:line="276"/>
        <w:ind w:left="480" w:hanging="480"/>
      </w:pPr>
      <w:r>
        <w:rPr>
          <w:rFonts w:ascii="Calibri" w:cs="Calibri" w:eastAsia="Calibri" w:hAnsi="Calibri"/>
          <w:b/>
          <w:bCs/>
          <w:sz w:val="21"/>
          <w:szCs w:val="21"/>
        </w:rPr>
        <w:t xml:space="preserve">1.2 </w:t>
      </w:r>
      <w:r>
        <w:rPr>
          <w:rFonts w:ascii="Calibri" w:cs="Calibri" w:eastAsia="Calibri" w:hAnsi="Calibri"/>
          <w:sz w:val="21"/>
          <w:szCs w:val="21"/>
        </w:rPr>
        <w:t xml:space="preserve">“Referred Client” means a person or business that (a) is submitted to Fundhub by Partner through the tracking method described in Section 4.2, (b) is not already an existing Fundhub client or active lead at the time of submission, and (c) purchases one or more Services.</w:t>
      </w:r>
    </w:p>
    <w:p>
      <w:pPr>
        <w:spacing w:after="140" w:line="276"/>
        <w:ind w:left="480" w:hanging="480"/>
      </w:pPr>
      <w:r>
        <w:rPr>
          <w:rFonts w:ascii="Calibri" w:cs="Calibri" w:eastAsia="Calibri" w:hAnsi="Calibri"/>
          <w:b/>
          <w:bCs/>
          <w:sz w:val="21"/>
          <w:szCs w:val="21"/>
        </w:rPr>
        <w:t xml:space="preserve">1.3 </w:t>
      </w:r>
      <w:r>
        <w:rPr>
          <w:rFonts w:ascii="Calibri" w:cs="Calibri" w:eastAsia="Calibri" w:hAnsi="Calibri"/>
          <w:sz w:val="21"/>
          <w:szCs w:val="21"/>
        </w:rPr>
        <w:t xml:space="preserve">“Net Revenue” means all amounts actually collected by Fundhub from a Referred Client for Services, less (a) refunds and chargebacks actually paid or charged back, (b) third-party payment processing and merchant fees actually incurred on those amounts, and (c) sales, use, or similar taxes collected and remitted to a taxing authority.</w:t>
      </w:r>
    </w:p>
    <w:p>
      <w:pPr>
        <w:spacing w:after="160" w:line="276"/>
        <w:ind w:left="480"/>
      </w:pPr>
      <w:r>
        <w:rPr>
          <w:rFonts w:ascii="Calibri" w:cs="Calibri" w:eastAsia="Calibri" w:hAnsi="Calibri"/>
          <w:i/>
          <w:iCs/>
          <w:sz w:val="21"/>
          <w:szCs w:val="21"/>
        </w:rPr>
        <w:t xml:space="preserve">Net Revenue does not include </w:t>
      </w:r>
      <w:r>
        <w:rPr>
          <w:rFonts w:ascii="Calibri" w:cs="Calibri" w:eastAsia="Calibri" w:hAnsi="Calibri"/>
          <w:i/>
          <w:iCs/>
          <w:sz w:val="21"/>
          <w:szCs w:val="21"/>
        </w:rPr>
        <w:t xml:space="preserve">loan, credit line, or other financing proceeds advanced to a Referred Client by a third-party lender. Those proceeds belong to the Referred Client and never pass through Fundhub. Where a Service carries a success fee calculated on funding obtained, the </w:t>
      </w:r>
      <w:r>
        <w:rPr>
          <w:rFonts w:ascii="Calibri" w:cs="Calibri" w:eastAsia="Calibri" w:hAnsi="Calibri"/>
          <w:b/>
          <w:bCs/>
          <w:i/>
          <w:iCs/>
          <w:sz w:val="21"/>
          <w:szCs w:val="21"/>
        </w:rPr>
        <w:t xml:space="preserve">success fee itself</w:t>
      </w:r>
      <w:r>
        <w:rPr>
          <w:rFonts w:ascii="Calibri" w:cs="Calibri" w:eastAsia="Calibri" w:hAnsi="Calibri"/>
          <w:i/>
          <w:iCs/>
          <w:sz w:val="21"/>
          <w:szCs w:val="21"/>
        </w:rPr>
        <w:t xml:space="preserve"> is Net Revenue when collected; the funding is not.</w:t>
      </w:r>
    </w:p>
    <w:p>
      <w:pPr>
        <w:spacing w:after="140" w:line="276"/>
        <w:ind w:left="480" w:hanging="480"/>
      </w:pPr>
      <w:r>
        <w:rPr>
          <w:rFonts w:ascii="Calibri" w:cs="Calibri" w:eastAsia="Calibri" w:hAnsi="Calibri"/>
          <w:b/>
          <w:bCs/>
          <w:sz w:val="21"/>
          <w:szCs w:val="21"/>
        </w:rPr>
        <w:t xml:space="preserve">1.4 </w:t>
      </w:r>
      <w:r>
        <w:rPr>
          <w:rFonts w:ascii="Calibri" w:cs="Calibri" w:eastAsia="Calibri" w:hAnsi="Calibri"/>
          <w:sz w:val="21"/>
          <w:szCs w:val="21"/>
        </w:rPr>
        <w:t xml:space="preserve">“Program Fee” means the one-time fee payable under Section 3.</w:t>
      </w:r>
    </w:p>
    <w:p>
      <w:pPr>
        <w:spacing w:after="140" w:line="276"/>
        <w:ind w:left="480" w:hanging="480"/>
      </w:pPr>
      <w:r>
        <w:rPr>
          <w:rFonts w:ascii="Calibri" w:cs="Calibri" w:eastAsia="Calibri" w:hAnsi="Calibri"/>
          <w:b/>
          <w:bCs/>
          <w:sz w:val="21"/>
          <w:szCs w:val="21"/>
        </w:rPr>
        <w:t xml:space="preserve">1.5 </w:t>
      </w:r>
      <w:r>
        <w:rPr>
          <w:rFonts w:ascii="Calibri" w:cs="Calibri" w:eastAsia="Calibri" w:hAnsi="Calibri"/>
          <w:sz w:val="21"/>
          <w:szCs w:val="21"/>
        </w:rPr>
        <w:t xml:space="preserve">“Revenue Share” means the payment due to Partner under Section 5.</w:t>
      </w:r>
    </w:p>
    <w:p>
      <w:pPr>
        <w:spacing w:after="140" w:line="276"/>
        <w:ind w:left="480" w:hanging="480"/>
      </w:pPr>
      <w:r>
        <w:rPr>
          <w:rFonts w:ascii="Calibri" w:cs="Calibri" w:eastAsia="Calibri" w:hAnsi="Calibri"/>
          <w:b/>
          <w:bCs/>
          <w:sz w:val="21"/>
          <w:szCs w:val="21"/>
        </w:rPr>
        <w:t xml:space="preserve">1.6 </w:t>
      </w:r>
      <w:r>
        <w:rPr>
          <w:rFonts w:ascii="Calibri" w:cs="Calibri" w:eastAsia="Calibri" w:hAnsi="Calibri"/>
          <w:sz w:val="21"/>
          <w:szCs w:val="21"/>
        </w:rPr>
        <w:t xml:space="preserve">“Marks” means a Party’s trade names, trademarks, service marks, logos, and brand assets.</w:t>
      </w:r>
    </w:p>
    <w:p>
      <w:pPr>
        <w:pStyle w:val="Heading1"/>
        <w:spacing w:after="140" w:before="320"/>
      </w:pPr>
      <w:r>
        <w:rPr>
          <w:rFonts w:ascii="Calibri" w:cs="Calibri" w:eastAsia="Calibri" w:hAnsi="Calibri"/>
          <w:b/>
          <w:bCs/>
          <w:color w:val="1A1A1A"/>
          <w:sz w:val="24"/>
          <w:szCs w:val="24"/>
        </w:rPr>
        <w:t xml:space="preserve">2. The White Label Program</w:t>
      </w:r>
    </w:p>
    <w:p>
      <w:pPr>
        <w:spacing w:after="140" w:line="276"/>
        <w:ind w:left="480" w:hanging="480"/>
      </w:pPr>
      <w:r>
        <w:rPr>
          <w:rFonts w:ascii="Calibri" w:cs="Calibri" w:eastAsia="Calibri" w:hAnsi="Calibri"/>
          <w:b/>
          <w:bCs/>
          <w:sz w:val="21"/>
          <w:szCs w:val="21"/>
        </w:rPr>
        <w:t xml:space="preserve">2.1 </w:t>
      </w:r>
      <w:r>
        <w:rPr>
          <w:rFonts w:ascii="Calibri" w:cs="Calibri" w:eastAsia="Calibri" w:hAnsi="Calibri"/>
          <w:sz w:val="21"/>
          <w:szCs w:val="21"/>
        </w:rPr>
        <w:t xml:space="preserve">Grant. Subject to Partner’s compliance with this Agreement, Fundhub grants Partner a non-exclusive, non-transferable, revocable right during the Term to market and offer the Services to Partner’s audience and to submit Referred Clients to Fundhub.</w:t>
      </w:r>
    </w:p>
    <w:p>
      <w:pPr>
        <w:spacing w:after="140" w:line="276"/>
        <w:ind w:left="480" w:hanging="480"/>
      </w:pPr>
      <w:r>
        <w:rPr>
          <w:rFonts w:ascii="Calibri" w:cs="Calibri" w:eastAsia="Calibri" w:hAnsi="Calibri"/>
          <w:b/>
          <w:bCs/>
          <w:sz w:val="21"/>
          <w:szCs w:val="21"/>
        </w:rPr>
        <w:t xml:space="preserve">2.2 </w:t>
      </w:r>
      <w:r>
        <w:rPr>
          <w:rFonts w:ascii="Calibri" w:cs="Calibri" w:eastAsia="Calibri" w:hAnsi="Calibri"/>
          <w:sz w:val="21"/>
          <w:szCs w:val="21"/>
        </w:rPr>
        <w:t xml:space="preserve">What Partner receives. Fundhub will provide, at no additional charge beyond the Program Fee: onboarding and platform access; a client submission and tracking method; fulfillment of every Service purchased by a Referred Client; client support for those Referred Clients; approved marketing assets; and reporting under Section 6.</w:t>
      </w:r>
    </w:p>
    <w:p>
      <w:pPr>
        <w:spacing w:after="140" w:line="276"/>
        <w:ind w:left="480" w:hanging="480"/>
      </w:pPr>
      <w:r>
        <w:rPr>
          <w:rFonts w:ascii="Calibri" w:cs="Calibri" w:eastAsia="Calibri" w:hAnsi="Calibri"/>
          <w:b/>
          <w:bCs/>
          <w:sz w:val="21"/>
          <w:szCs w:val="21"/>
        </w:rPr>
        <w:t xml:space="preserve">2.3 </w:t>
      </w:r>
      <w:r>
        <w:rPr>
          <w:rFonts w:ascii="Calibri" w:cs="Calibri" w:eastAsia="Calibri" w:hAnsi="Calibri"/>
          <w:sz w:val="21"/>
          <w:szCs w:val="21"/>
        </w:rPr>
        <w:t xml:space="preserve">Fulfillment brand election. The Parties elect ONE of the following in Schedule A, and the election governs how Referred Clients experience the Services:</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Option A — Fundhub-branded. Referred Clients are onboarded, contracted, served, and invoiced under the Fundhub brand. Partner is disclosed as the referring source.</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Option B — Partner-branded (true white label). Client-facing materials carry Partner’s Marks. Fundhub performs the work behind Partner’s brand. Partner acknowledges that under Option B Partner appears to the public as the provider of the Services and assumes the registration, licensing, bonding, and disclosure obligations that attach to that role in each state where Partner markets. Option B is not available for any Service categorised as done-for-you in Schedule A unless Partner delivers to Fundhub written evidence of the required registrations before the first submission.</w:t>
      </w:r>
    </w:p>
    <w:p>
      <w:pPr>
        <w:spacing w:after="140" w:line="276"/>
        <w:ind w:left="480" w:hanging="480"/>
      </w:pPr>
      <w:r>
        <w:rPr>
          <w:rFonts w:ascii="Calibri" w:cs="Calibri" w:eastAsia="Calibri" w:hAnsi="Calibri"/>
          <w:b/>
          <w:bCs/>
          <w:sz w:val="21"/>
          <w:szCs w:val="21"/>
        </w:rPr>
        <w:t xml:space="preserve">2.4 </w:t>
      </w:r>
      <w:r>
        <w:rPr>
          <w:rFonts w:ascii="Calibri" w:cs="Calibri" w:eastAsia="Calibri" w:hAnsi="Calibri"/>
          <w:sz w:val="21"/>
          <w:szCs w:val="21"/>
        </w:rPr>
        <w:t xml:space="preserve">No exclusivity. Nothing here grants Partner territorial, vertical, or channel exclusivity, and nothing restricts Fundhub from marketing directly or through other partners.</w:t>
      </w:r>
    </w:p>
    <w:p>
      <w:pPr>
        <w:spacing w:after="140" w:line="276"/>
        <w:ind w:left="480" w:hanging="480"/>
      </w:pPr>
      <w:r>
        <w:rPr>
          <w:rFonts w:ascii="Calibri" w:cs="Calibri" w:eastAsia="Calibri" w:hAnsi="Calibri"/>
          <w:b/>
          <w:bCs/>
          <w:sz w:val="21"/>
          <w:szCs w:val="21"/>
        </w:rPr>
        <w:t xml:space="preserve">2.5 </w:t>
      </w:r>
      <w:r>
        <w:rPr>
          <w:rFonts w:ascii="Calibri" w:cs="Calibri" w:eastAsia="Calibri" w:hAnsi="Calibri"/>
          <w:sz w:val="21"/>
          <w:szCs w:val="21"/>
        </w:rPr>
        <w:t xml:space="preserve">No sublicensing. Partner may not appoint sub-partners, sub-affiliates, or downstream resellers without Fundhub’s prior written consent.</w:t>
      </w:r>
    </w:p>
    <w:p>
      <w:pPr>
        <w:pStyle w:val="Heading1"/>
        <w:spacing w:after="140" w:before="320"/>
      </w:pPr>
      <w:r>
        <w:rPr>
          <w:rFonts w:ascii="Calibri" w:cs="Calibri" w:eastAsia="Calibri" w:hAnsi="Calibri"/>
          <w:b/>
          <w:bCs/>
          <w:color w:val="1A1A1A"/>
          <w:sz w:val="24"/>
          <w:szCs w:val="24"/>
        </w:rPr>
        <w:t xml:space="preserve">3. Program Fee</w:t>
      </w:r>
    </w:p>
    <w:p>
      <w:pPr>
        <w:spacing w:after="140" w:line="276"/>
        <w:ind w:left="480" w:hanging="480"/>
      </w:pPr>
      <w:r>
        <w:rPr>
          <w:rFonts w:ascii="Calibri" w:cs="Calibri" w:eastAsia="Calibri" w:hAnsi="Calibri"/>
          <w:b/>
          <w:bCs/>
          <w:sz w:val="21"/>
          <w:szCs w:val="21"/>
        </w:rPr>
        <w:t xml:space="preserve">3.1 </w:t>
      </w:r>
      <w:r>
        <w:rPr>
          <w:rFonts w:ascii="Calibri" w:cs="Calibri" w:eastAsia="Calibri" w:hAnsi="Calibri"/>
          <w:sz w:val="21"/>
          <w:szCs w:val="21"/>
        </w:rPr>
        <w:t xml:space="preserve">Amount. Partner will pay Fundhub a one-time Program Fee of ten thousand United States dollars ($10,000), due on the Effective Date.</w:t>
      </w:r>
    </w:p>
    <w:p>
      <w:pPr>
        <w:spacing w:after="140" w:line="276"/>
        <w:ind w:left="480" w:hanging="480"/>
      </w:pPr>
      <w:r>
        <w:rPr>
          <w:rFonts w:ascii="Calibri" w:cs="Calibri" w:eastAsia="Calibri" w:hAnsi="Calibri"/>
          <w:b/>
          <w:bCs/>
          <w:sz w:val="21"/>
          <w:szCs w:val="21"/>
        </w:rPr>
        <w:t xml:space="preserve">3.2 </w:t>
      </w:r>
      <w:r>
        <w:rPr>
          <w:rFonts w:ascii="Calibri" w:cs="Calibri" w:eastAsia="Calibri" w:hAnsi="Calibri"/>
          <w:sz w:val="21"/>
          <w:szCs w:val="21"/>
        </w:rPr>
        <w:t xml:space="preserve">What it covers. The Program Fee covers onboarding, platform configuration, brand and asset setup, training, and the right to participate in the program for the Initial Term. It is not a deposit against, credit toward, or prepayment of the Revenue Share.</w:t>
      </w:r>
    </w:p>
    <w:p>
      <w:pPr>
        <w:spacing w:after="140" w:line="276"/>
        <w:ind w:left="480" w:hanging="480"/>
      </w:pPr>
      <w:r>
        <w:rPr>
          <w:rFonts w:ascii="Calibri" w:cs="Calibri" w:eastAsia="Calibri" w:hAnsi="Calibri"/>
          <w:b/>
          <w:bCs/>
          <w:sz w:val="21"/>
          <w:szCs w:val="21"/>
        </w:rPr>
        <w:t xml:space="preserve">3.3 </w:t>
      </w:r>
      <w:r>
        <w:rPr>
          <w:rFonts w:ascii="Calibri" w:cs="Calibri" w:eastAsia="Calibri" w:hAnsi="Calibri"/>
          <w:sz w:val="21"/>
          <w:szCs w:val="21"/>
        </w:rPr>
        <w:t xml:space="preserve">Cancellation window. Partner may cancel this Agreement for any reason by written notice delivered within three (3) business days after the Effective Date and receive a full refund of the Program Fee, provided Partner has not submitted a Referred Client and onboarding has not commenced.</w:t>
      </w:r>
    </w:p>
    <w:p>
      <w:pPr>
        <w:spacing w:after="140" w:line="276"/>
        <w:ind w:left="480" w:hanging="480"/>
      </w:pPr>
      <w:r>
        <w:rPr>
          <w:rFonts w:ascii="Calibri" w:cs="Calibri" w:eastAsia="Calibri" w:hAnsi="Calibri"/>
          <w:b/>
          <w:bCs/>
          <w:sz w:val="21"/>
          <w:szCs w:val="21"/>
        </w:rPr>
        <w:t xml:space="preserve">3.4 </w:t>
      </w:r>
      <w:r>
        <w:rPr>
          <w:rFonts w:ascii="Calibri" w:cs="Calibri" w:eastAsia="Calibri" w:hAnsi="Calibri"/>
          <w:sz w:val="21"/>
          <w:szCs w:val="21"/>
        </w:rPr>
        <w:t xml:space="preserve">After the window. Once onboarding commences, the Program Fee is earned and non-refundable, except where Fundhub terminates without cause under Section 14.3 during the Initial Term, in which case Fundhub will refund the Program Fee pro rata for the unexpired portion of the Initial Term.</w:t>
      </w:r>
    </w:p>
    <w:p>
      <w:pPr>
        <w:pStyle w:val="Heading1"/>
        <w:spacing w:after="140" w:before="320"/>
      </w:pPr>
      <w:r>
        <w:rPr>
          <w:rFonts w:ascii="Calibri" w:cs="Calibri" w:eastAsia="Calibri" w:hAnsi="Calibri"/>
          <w:b/>
          <w:bCs/>
          <w:color w:val="1A1A1A"/>
          <w:sz w:val="24"/>
          <w:szCs w:val="24"/>
        </w:rPr>
        <w:t xml:space="preserve">4. Referred Clients</w:t>
      </w:r>
    </w:p>
    <w:p>
      <w:pPr>
        <w:spacing w:after="140" w:line="276"/>
        <w:ind w:left="480" w:hanging="480"/>
      </w:pPr>
      <w:r>
        <w:rPr>
          <w:rFonts w:ascii="Calibri" w:cs="Calibri" w:eastAsia="Calibri" w:hAnsi="Calibri"/>
          <w:b/>
          <w:bCs/>
          <w:sz w:val="21"/>
          <w:szCs w:val="21"/>
        </w:rPr>
        <w:t xml:space="preserve">4.1 </w:t>
      </w:r>
      <w:r>
        <w:rPr>
          <w:rFonts w:ascii="Calibri" w:cs="Calibri" w:eastAsia="Calibri" w:hAnsi="Calibri"/>
          <w:sz w:val="21"/>
          <w:szCs w:val="21"/>
        </w:rPr>
        <w:t xml:space="preserve">Submission. Partner will submit prospective clients only through the tracking link, portal, or partner code Fundhub assigns to Partner. A prospect introduced outside that method does not become a Referred Client and earns no Revenue Share.</w:t>
      </w:r>
    </w:p>
    <w:p>
      <w:pPr>
        <w:spacing w:after="140" w:line="276"/>
        <w:ind w:left="480" w:hanging="480"/>
      </w:pPr>
      <w:r>
        <w:rPr>
          <w:rFonts w:ascii="Calibri" w:cs="Calibri" w:eastAsia="Calibri" w:hAnsi="Calibri"/>
          <w:b/>
          <w:bCs/>
          <w:sz w:val="21"/>
          <w:szCs w:val="21"/>
        </w:rPr>
        <w:t xml:space="preserve">4.2 </w:t>
      </w:r>
      <w:r>
        <w:rPr>
          <w:rFonts w:ascii="Calibri" w:cs="Calibri" w:eastAsia="Calibri" w:hAnsi="Calibri"/>
          <w:sz w:val="21"/>
          <w:szCs w:val="21"/>
        </w:rPr>
        <w:t xml:space="preserve">Attribution. Attribution is determined by Fundhub’s records at the time of first contact. A prospect already in Fundhub’s pipeline at the time of Partner’s submission is not a Referred Client. Fundhub will notify Partner within five (5) business days of any submission rejected on this basis and, on Partner’s written request, will state the date of first contact.</w:t>
      </w:r>
    </w:p>
    <w:p>
      <w:pPr>
        <w:spacing w:after="140" w:line="276"/>
        <w:ind w:left="480" w:hanging="480"/>
      </w:pPr>
      <w:r>
        <w:rPr>
          <w:rFonts w:ascii="Calibri" w:cs="Calibri" w:eastAsia="Calibri" w:hAnsi="Calibri"/>
          <w:b/>
          <w:bCs/>
          <w:sz w:val="21"/>
          <w:szCs w:val="21"/>
        </w:rPr>
        <w:t xml:space="preserve">4.3 </w:t>
      </w:r>
      <w:r>
        <w:rPr>
          <w:rFonts w:ascii="Calibri" w:cs="Calibri" w:eastAsia="Calibri" w:hAnsi="Calibri"/>
          <w:sz w:val="21"/>
          <w:szCs w:val="21"/>
        </w:rPr>
        <w:t xml:space="preserve">Consent. Partner will obtain, and retain proof of, each prospect’s express written consent to be contacted by Fundhub by telephone, SMS, and email before submitting that prospect. Partner will provide that proof to Fundhub within two (2) business days of a written request. Partner will not submit any prospect on a state or federal do-not-call registry absent a documented existing business relationship.</w:t>
      </w:r>
    </w:p>
    <w:p>
      <w:pPr>
        <w:spacing w:after="140" w:line="276"/>
        <w:ind w:left="480" w:hanging="480"/>
      </w:pPr>
      <w:r>
        <w:rPr>
          <w:rFonts w:ascii="Calibri" w:cs="Calibri" w:eastAsia="Calibri" w:hAnsi="Calibri"/>
          <w:b/>
          <w:bCs/>
          <w:sz w:val="21"/>
          <w:szCs w:val="21"/>
        </w:rPr>
        <w:t xml:space="preserve">4.4 </w:t>
      </w:r>
      <w:r>
        <w:rPr>
          <w:rFonts w:ascii="Calibri" w:cs="Calibri" w:eastAsia="Calibri" w:hAnsi="Calibri"/>
          <w:sz w:val="21"/>
          <w:szCs w:val="21"/>
        </w:rPr>
        <w:t xml:space="preserve">Fundhub discretion. Fundhub may decline any prospect or Referred Client, and may decline to sell any particular Service to any Referred Client, in its sole discretion, including where doing so would in Fundhub’s judgment be unsuitable, non-compliant, or outside Fundhub’s underwriting criteria.</w:t>
      </w:r>
    </w:p>
    <w:p>
      <w:pPr>
        <w:spacing w:after="140" w:line="276"/>
        <w:ind w:left="480" w:hanging="480"/>
      </w:pPr>
      <w:r>
        <w:rPr>
          <w:rFonts w:ascii="Calibri" w:cs="Calibri" w:eastAsia="Calibri" w:hAnsi="Calibri"/>
          <w:b/>
          <w:bCs/>
          <w:sz w:val="21"/>
          <w:szCs w:val="21"/>
        </w:rPr>
        <w:t xml:space="preserve">4.5 </w:t>
      </w:r>
      <w:r>
        <w:rPr>
          <w:rFonts w:ascii="Calibri" w:cs="Calibri" w:eastAsia="Calibri" w:hAnsi="Calibri"/>
          <w:sz w:val="21"/>
          <w:szCs w:val="21"/>
        </w:rPr>
        <w:t xml:space="preserve">Pricing authority. Fundhub sets all client-facing prices. Partner will not quote, discount, bundle, or promise pricing other than the prices published by Fundhub, and will not collect any payment directly from a prospect or Referred Client for the Services.</w:t>
      </w:r>
    </w:p>
    <w:p>
      <w:pPr>
        <w:pStyle w:val="Heading1"/>
        <w:spacing w:after="140" w:before="320"/>
      </w:pPr>
      <w:r>
        <w:rPr>
          <w:rFonts w:ascii="Calibri" w:cs="Calibri" w:eastAsia="Calibri" w:hAnsi="Calibri"/>
          <w:b/>
          <w:bCs/>
          <w:color w:val="1A1A1A"/>
          <w:sz w:val="24"/>
          <w:szCs w:val="24"/>
        </w:rPr>
        <w:t xml:space="preserve">5. Revenue Share</w:t>
      </w:r>
    </w:p>
    <w:p>
      <w:pPr>
        <w:spacing w:after="140" w:line="276"/>
        <w:ind w:left="480" w:hanging="480"/>
      </w:pPr>
      <w:r>
        <w:rPr>
          <w:rFonts w:ascii="Calibri" w:cs="Calibri" w:eastAsia="Calibri" w:hAnsi="Calibri"/>
          <w:b/>
          <w:bCs/>
          <w:sz w:val="21"/>
          <w:szCs w:val="21"/>
        </w:rPr>
        <w:t xml:space="preserve">5.1 </w:t>
      </w:r>
      <w:r>
        <w:rPr>
          <w:rFonts w:ascii="Calibri" w:cs="Calibri" w:eastAsia="Calibri" w:hAnsi="Calibri"/>
          <w:sz w:val="21"/>
          <w:szCs w:val="21"/>
        </w:rPr>
        <w:t xml:space="preserve">The split. For each Referred Client, Fundhub will pay Partner fifty percent (50%) of Net Revenue collected from that Referred Client, and Fundhub retains fifty percent (50%).</w:t>
      </w:r>
    </w:p>
    <w:p>
      <w:pPr>
        <w:spacing w:after="140" w:line="276"/>
        <w:ind w:left="480" w:hanging="480"/>
      </w:pPr>
      <w:r>
        <w:rPr>
          <w:rFonts w:ascii="Calibri" w:cs="Calibri" w:eastAsia="Calibri" w:hAnsi="Calibri"/>
          <w:b/>
          <w:bCs/>
          <w:sz w:val="21"/>
          <w:szCs w:val="21"/>
        </w:rPr>
        <w:t xml:space="preserve">5.2 </w:t>
      </w:r>
      <w:r>
        <w:rPr>
          <w:rFonts w:ascii="Calibri" w:cs="Calibri" w:eastAsia="Calibri" w:hAnsi="Calibri"/>
          <w:sz w:val="21"/>
          <w:szCs w:val="21"/>
        </w:rPr>
        <w:t xml:space="preserve">Scope. The Revenue Share applies to every Service that Referred Client purchases during the Term and during the Tail Period under Section 15.1, including upgrades, additional Services, and renewals, whether or not Partner was involved in the later sale.</w:t>
      </w:r>
    </w:p>
    <w:p>
      <w:pPr>
        <w:spacing w:after="140" w:line="276"/>
        <w:ind w:left="480" w:hanging="480"/>
      </w:pPr>
      <w:r>
        <w:rPr>
          <w:rFonts w:ascii="Calibri" w:cs="Calibri" w:eastAsia="Calibri" w:hAnsi="Calibri"/>
          <w:b/>
          <w:bCs/>
          <w:sz w:val="21"/>
          <w:szCs w:val="21"/>
        </w:rPr>
        <w:t xml:space="preserve">5.3 </w:t>
      </w:r>
      <w:r>
        <w:rPr>
          <w:rFonts w:ascii="Calibri" w:cs="Calibri" w:eastAsia="Calibri" w:hAnsi="Calibri"/>
          <w:sz w:val="21"/>
          <w:szCs w:val="21"/>
        </w:rPr>
        <w:t xml:space="preserve">Collection. Fundhub is the merchant of record. Fundhub collects all client payments and pays Partner. Revenue Share accrues only on money actually collected — not on amounts invoiced, contracted, financed, or booked.</w:t>
      </w:r>
    </w:p>
    <w:p>
      <w:pPr>
        <w:spacing w:after="140" w:line="276"/>
        <w:ind w:left="480" w:hanging="480"/>
      </w:pPr>
      <w:r>
        <w:rPr>
          <w:rFonts w:ascii="Calibri" w:cs="Calibri" w:eastAsia="Calibri" w:hAnsi="Calibri"/>
          <w:b/>
          <w:bCs/>
          <w:sz w:val="21"/>
          <w:szCs w:val="21"/>
        </w:rPr>
        <w:t xml:space="preserve">5.4 </w:t>
      </w:r>
      <w:r>
        <w:rPr>
          <w:rFonts w:ascii="Calibri" w:cs="Calibri" w:eastAsia="Calibri" w:hAnsi="Calibri"/>
          <w:sz w:val="21"/>
          <w:szCs w:val="21"/>
        </w:rPr>
        <w:t xml:space="preserve">Refunds and chargebacks. If a Referred Client is refunded, or a payment is charged back, after Fundhub has paid Revenue Share on it, the corresponding Revenue Share is reversed and offset against Partner’s next payment. If no further payment is due within ninety (90) days, Partner will repay the amount within thirty (30) days of written demand.</w:t>
      </w:r>
    </w:p>
    <w:p>
      <w:pPr>
        <w:spacing w:after="140" w:line="276"/>
        <w:ind w:left="480" w:hanging="480"/>
      </w:pPr>
      <w:r>
        <w:rPr>
          <w:rFonts w:ascii="Calibri" w:cs="Calibri" w:eastAsia="Calibri" w:hAnsi="Calibri"/>
          <w:b/>
          <w:bCs/>
          <w:sz w:val="21"/>
          <w:szCs w:val="21"/>
        </w:rPr>
        <w:t xml:space="preserve">5.5 </w:t>
      </w:r>
      <w:r>
        <w:rPr>
          <w:rFonts w:ascii="Calibri" w:cs="Calibri" w:eastAsia="Calibri" w:hAnsi="Calibri"/>
          <w:sz w:val="21"/>
          <w:szCs w:val="21"/>
        </w:rPr>
        <w:t xml:space="preserve">Third-party financing. Where a Referred Client pays through a third-party financing provider, Net Revenue is the amount the provider actually remits to Fundhub, net of that provider’s discount or fee.</w:t>
      </w:r>
    </w:p>
    <w:p>
      <w:pPr>
        <w:spacing w:after="140" w:line="276"/>
        <w:ind w:left="480" w:hanging="480"/>
      </w:pPr>
      <w:r>
        <w:rPr>
          <w:rFonts w:ascii="Calibri" w:cs="Calibri" w:eastAsia="Calibri" w:hAnsi="Calibri"/>
          <w:b/>
          <w:bCs/>
          <w:sz w:val="21"/>
          <w:szCs w:val="21"/>
        </w:rPr>
        <w:t xml:space="preserve">5.6 </w:t>
      </w:r>
      <w:r>
        <w:rPr>
          <w:rFonts w:ascii="Calibri" w:cs="Calibri" w:eastAsia="Calibri" w:hAnsi="Calibri"/>
          <w:sz w:val="21"/>
          <w:szCs w:val="21"/>
        </w:rPr>
        <w:t xml:space="preserve">No other compensation. The Revenue Share is Partner’s sole compensation. Partner is responsible for its own costs, including its advertising spend except as provided in Schedule B.</w:t>
      </w:r>
    </w:p>
    <w:p>
      <w:pPr>
        <w:pStyle w:val="Heading1"/>
        <w:spacing w:after="140" w:before="320"/>
      </w:pPr>
      <w:r>
        <w:rPr>
          <w:rFonts w:ascii="Calibri" w:cs="Calibri" w:eastAsia="Calibri" w:hAnsi="Calibri"/>
          <w:b/>
          <w:bCs/>
          <w:color w:val="1A1A1A"/>
          <w:sz w:val="24"/>
          <w:szCs w:val="24"/>
        </w:rPr>
        <w:t xml:space="preserve">6. Reporting and Payment</w:t>
      </w:r>
    </w:p>
    <w:p>
      <w:pPr>
        <w:spacing w:after="140" w:line="276"/>
        <w:ind w:left="480" w:hanging="480"/>
      </w:pPr>
      <w:r>
        <w:rPr>
          <w:rFonts w:ascii="Calibri" w:cs="Calibri" w:eastAsia="Calibri" w:hAnsi="Calibri"/>
          <w:b/>
          <w:bCs/>
          <w:sz w:val="21"/>
          <w:szCs w:val="21"/>
        </w:rPr>
        <w:t xml:space="preserve">6.1 </w:t>
      </w:r>
      <w:r>
        <w:rPr>
          <w:rFonts w:ascii="Calibri" w:cs="Calibri" w:eastAsia="Calibri" w:hAnsi="Calibri"/>
          <w:sz w:val="21"/>
          <w:szCs w:val="21"/>
        </w:rPr>
        <w:t xml:space="preserve">Statement. Within ten (10) days after the end of each calendar month, Fundhub will deliver Partner a statement showing, for that month: each Referred Client, amounts collected, refunds and chargebacks applied, processing fees deducted, Net Revenue, and the Revenue Share due.</w:t>
      </w:r>
    </w:p>
    <w:p>
      <w:pPr>
        <w:spacing w:after="140" w:line="276"/>
        <w:ind w:left="480" w:hanging="480"/>
      </w:pPr>
      <w:r>
        <w:rPr>
          <w:rFonts w:ascii="Calibri" w:cs="Calibri" w:eastAsia="Calibri" w:hAnsi="Calibri"/>
          <w:b/>
          <w:bCs/>
          <w:sz w:val="21"/>
          <w:szCs w:val="21"/>
        </w:rPr>
        <w:t xml:space="preserve">6.2 </w:t>
      </w:r>
      <w:r>
        <w:rPr>
          <w:rFonts w:ascii="Calibri" w:cs="Calibri" w:eastAsia="Calibri" w:hAnsi="Calibri"/>
          <w:sz w:val="21"/>
          <w:szCs w:val="21"/>
        </w:rPr>
        <w:t xml:space="preserve">Payment. Fundhub will pay the Revenue Share shown on the statement within fifteen (15) days after the statement date, by ACH to the account Partner designates in writing.</w:t>
      </w:r>
    </w:p>
    <w:p>
      <w:pPr>
        <w:spacing w:after="140" w:line="276"/>
        <w:ind w:left="480" w:hanging="480"/>
      </w:pPr>
      <w:r>
        <w:rPr>
          <w:rFonts w:ascii="Calibri" w:cs="Calibri" w:eastAsia="Calibri" w:hAnsi="Calibri"/>
          <w:b/>
          <w:bCs/>
          <w:sz w:val="21"/>
          <w:szCs w:val="21"/>
        </w:rPr>
        <w:t xml:space="preserve">6.3 </w:t>
      </w:r>
      <w:r>
        <w:rPr>
          <w:rFonts w:ascii="Calibri" w:cs="Calibri" w:eastAsia="Calibri" w:hAnsi="Calibri"/>
          <w:sz w:val="21"/>
          <w:szCs w:val="21"/>
        </w:rPr>
        <w:t xml:space="preserve">Minimum. If the Revenue Share due for a month is less than one hundred dollars ($100), Fundhub may carry it forward and pay it with the next month in which the cumulative balance exceeds that amount. Any balance is paid in full within thirty (30) days after termination regardless of amount.</w:t>
      </w:r>
    </w:p>
    <w:p>
      <w:pPr>
        <w:spacing w:after="140" w:line="276"/>
        <w:ind w:left="480" w:hanging="480"/>
      </w:pPr>
      <w:r>
        <w:rPr>
          <w:rFonts w:ascii="Calibri" w:cs="Calibri" w:eastAsia="Calibri" w:hAnsi="Calibri"/>
          <w:b/>
          <w:bCs/>
          <w:sz w:val="21"/>
          <w:szCs w:val="21"/>
        </w:rPr>
        <w:t xml:space="preserve">6.4 </w:t>
      </w:r>
      <w:r>
        <w:rPr>
          <w:rFonts w:ascii="Calibri" w:cs="Calibri" w:eastAsia="Calibri" w:hAnsi="Calibri"/>
          <w:sz w:val="21"/>
          <w:szCs w:val="21"/>
        </w:rPr>
        <w:t xml:space="preserve">Disputes. Partner may dispute a statement by written notice within sixty (60) days after receipt, describing the basis in reasonable detail. Undisputed amounts are paid on schedule. A statement not disputed within that period is final.</w:t>
      </w:r>
    </w:p>
    <w:p>
      <w:pPr>
        <w:spacing w:after="140" w:line="276"/>
        <w:ind w:left="480" w:hanging="480"/>
      </w:pPr>
      <w:r>
        <w:rPr>
          <w:rFonts w:ascii="Calibri" w:cs="Calibri" w:eastAsia="Calibri" w:hAnsi="Calibri"/>
          <w:b/>
          <w:bCs/>
          <w:sz w:val="21"/>
          <w:szCs w:val="21"/>
        </w:rPr>
        <w:t xml:space="preserve">6.5 </w:t>
      </w:r>
      <w:r>
        <w:rPr>
          <w:rFonts w:ascii="Calibri" w:cs="Calibri" w:eastAsia="Calibri" w:hAnsi="Calibri"/>
          <w:sz w:val="21"/>
          <w:szCs w:val="21"/>
        </w:rPr>
        <w:t xml:space="preserve">Audit. Once per twelve-month period, on thirty (30) days’ written notice, Partner may have an independent certified public accountant, bound by confidentiality, examine Fundhub’s records relating to Referred Clients during normal business hours. Partner bears the cost unless the audit shows an underpayment exceeding five percent (5%) for the period examined, in which case Fundhub bears the reasonable cost and pays the shortfall within thirty (30) days.</w:t>
      </w:r>
    </w:p>
    <w:p>
      <w:pPr>
        <w:spacing w:after="140" w:line="276"/>
        <w:ind w:left="480" w:hanging="480"/>
      </w:pPr>
      <w:r>
        <w:rPr>
          <w:rFonts w:ascii="Calibri" w:cs="Calibri" w:eastAsia="Calibri" w:hAnsi="Calibri"/>
          <w:b/>
          <w:bCs/>
          <w:sz w:val="21"/>
          <w:szCs w:val="21"/>
        </w:rPr>
        <w:t xml:space="preserve">6.6 </w:t>
      </w:r>
      <w:r>
        <w:rPr>
          <w:rFonts w:ascii="Calibri" w:cs="Calibri" w:eastAsia="Calibri" w:hAnsi="Calibri"/>
          <w:sz w:val="21"/>
          <w:szCs w:val="21"/>
        </w:rPr>
        <w:t xml:space="preserve">Taxes. Each Party is responsible for its own taxes. Fundhub will issue Partner an IRS Form 1099 where required. Partner will deliver a completed Form W-9 before the first payment.</w:t>
      </w:r>
    </w:p>
    <w:p>
      <w:pPr>
        <w:pStyle w:val="Heading1"/>
        <w:spacing w:after="140" w:before="320"/>
      </w:pPr>
      <w:r>
        <w:rPr>
          <w:rFonts w:ascii="Calibri" w:cs="Calibri" w:eastAsia="Calibri" w:hAnsi="Calibri"/>
          <w:b/>
          <w:bCs/>
          <w:color w:val="1A1A1A"/>
          <w:sz w:val="24"/>
          <w:szCs w:val="24"/>
        </w:rPr>
        <w:t xml:space="preserve">7. Fulfillment by Fundhub</w:t>
      </w:r>
    </w:p>
    <w:p>
      <w:pPr>
        <w:spacing w:after="140" w:line="276"/>
        <w:ind w:left="480" w:hanging="480"/>
      </w:pPr>
      <w:r>
        <w:rPr>
          <w:rFonts w:ascii="Calibri" w:cs="Calibri" w:eastAsia="Calibri" w:hAnsi="Calibri"/>
          <w:b/>
          <w:bCs/>
          <w:sz w:val="21"/>
          <w:szCs w:val="21"/>
        </w:rPr>
        <w:t xml:space="preserve">7.1 </w:t>
      </w:r>
      <w:r>
        <w:rPr>
          <w:rFonts w:ascii="Calibri" w:cs="Calibri" w:eastAsia="Calibri" w:hAnsi="Calibri"/>
          <w:sz w:val="21"/>
          <w:szCs w:val="21"/>
        </w:rPr>
        <w:t xml:space="preserve">Fundhub will perform the Services for Referred Clients in a professional and workmanlike manner, consistent with the descriptions in Schedule A and with the client-facing terms each Referred Client accepts.</w:t>
      </w:r>
    </w:p>
    <w:p>
      <w:pPr>
        <w:spacing w:after="140" w:line="276"/>
        <w:ind w:left="480" w:hanging="480"/>
      </w:pPr>
      <w:r>
        <w:rPr>
          <w:rFonts w:ascii="Calibri" w:cs="Calibri" w:eastAsia="Calibri" w:hAnsi="Calibri"/>
          <w:b/>
          <w:bCs/>
          <w:sz w:val="21"/>
          <w:szCs w:val="21"/>
        </w:rPr>
        <w:t xml:space="preserve">7.2 </w:t>
      </w:r>
      <w:r>
        <w:rPr>
          <w:rFonts w:ascii="Calibri" w:cs="Calibri" w:eastAsia="Calibri" w:hAnsi="Calibri"/>
          <w:sz w:val="21"/>
          <w:szCs w:val="21"/>
        </w:rPr>
        <w:t xml:space="preserve">Fundhub controls the manner, method, staffing, systems, and scheduling of fulfillment. Partner has no right to direct fulfillment for any individual Referred Client.</w:t>
      </w:r>
    </w:p>
    <w:p>
      <w:pPr>
        <w:spacing w:after="140" w:line="276"/>
        <w:ind w:left="480" w:hanging="480"/>
      </w:pPr>
      <w:r>
        <w:rPr>
          <w:rFonts w:ascii="Calibri" w:cs="Calibri" w:eastAsia="Calibri" w:hAnsi="Calibri"/>
          <w:b/>
          <w:bCs/>
          <w:sz w:val="21"/>
          <w:szCs w:val="21"/>
        </w:rPr>
        <w:t xml:space="preserve">7.3 </w:t>
      </w:r>
      <w:r>
        <w:rPr>
          <w:rFonts w:ascii="Calibri" w:cs="Calibri" w:eastAsia="Calibri" w:hAnsi="Calibri"/>
          <w:sz w:val="21"/>
          <w:szCs w:val="21"/>
        </w:rPr>
        <w:t xml:space="preserve">The contract for the Services is between Fundhub and the Referred Client. Partner is not a party to it and acquires no rights under it.</w:t>
      </w:r>
    </w:p>
    <w:p>
      <w:pPr>
        <w:spacing w:after="140" w:line="276"/>
        <w:ind w:left="480" w:hanging="480"/>
      </w:pPr>
      <w:r>
        <w:rPr>
          <w:rFonts w:ascii="Calibri" w:cs="Calibri" w:eastAsia="Calibri" w:hAnsi="Calibri"/>
          <w:b/>
          <w:bCs/>
          <w:sz w:val="21"/>
          <w:szCs w:val="21"/>
        </w:rPr>
        <w:t xml:space="preserve">7.4 </w:t>
      </w:r>
      <w:r>
        <w:rPr>
          <w:rFonts w:ascii="Calibri" w:cs="Calibri" w:eastAsia="Calibri" w:hAnsi="Calibri"/>
          <w:sz w:val="21"/>
          <w:szCs w:val="21"/>
        </w:rPr>
        <w:t xml:space="preserve">Fundhub will handle client support, refund requests, and complaints for Referred Clients. Partner will forward any client complaint it receives to Fundhub within two (2) business days and will not attempt to resolve, settle, or make any commitment about it.</w:t>
      </w:r>
    </w:p>
    <w:p>
      <w:pPr>
        <w:pStyle w:val="Heading1"/>
        <w:spacing w:after="140" w:before="320"/>
      </w:pPr>
      <w:r>
        <w:rPr>
          <w:rFonts w:ascii="Calibri" w:cs="Calibri" w:eastAsia="Calibri" w:hAnsi="Calibri"/>
          <w:b/>
          <w:bCs/>
          <w:color w:val="1A1A1A"/>
          <w:sz w:val="24"/>
          <w:szCs w:val="24"/>
        </w:rPr>
        <w:t xml:space="preserve">8. Partner Obligations</w:t>
      </w:r>
    </w:p>
    <w:p>
      <w:pPr>
        <w:spacing w:after="160" w:line="276"/>
      </w:pPr>
      <w:r>
        <w:rPr>
          <w:rFonts w:ascii="Calibri" w:cs="Calibri" w:eastAsia="Calibri" w:hAnsi="Calibri"/>
          <w:sz w:val="21"/>
          <w:szCs w:val="21"/>
        </w:rPr>
        <w:t xml:space="preserve">Partner will:</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market the Services honestly and only as described in Fundhub-approved materials;</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identify itself accurately and never represent that it is Fundhub, an employee or agent of Fundhub, a lender, a bank, or a government-affiliated program;</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comply with all applicable laws in its marketing, including the Telephone Consumer Protection Act, the CAN-SPAM Act, state telemarketing and do-not-call rules, and the Federal Trade Commission Act’s prohibition on unfair or deceptive acts;</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maintain the consents and records required by Section 4.3;</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keep any Fundhub-provided credentials secure and not share them; and</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notify Fundhub within two (2) business days of any regulatory inquiry, subpoena, demand letter, chargeback pattern, or platform advertising ban that relates to the Services.</w:t>
      </w:r>
    </w:p>
    <w:p>
      <w:pPr>
        <w:pStyle w:val="Heading1"/>
        <w:spacing w:after="140" w:before="320"/>
      </w:pPr>
      <w:r>
        <w:rPr>
          <w:rFonts w:ascii="Calibri" w:cs="Calibri" w:eastAsia="Calibri" w:hAnsi="Calibri"/>
          <w:b/>
          <w:bCs/>
          <w:color w:val="1A1A1A"/>
          <w:sz w:val="24"/>
          <w:szCs w:val="24"/>
        </w:rPr>
        <w:t xml:space="preserve">9. Marketing and Advertising Controls</w:t>
      </w:r>
    </w:p>
    <w:p>
      <w:pPr>
        <w:spacing w:after="160" w:line="276"/>
      </w:pPr>
      <w:r>
        <w:rPr>
          <w:rFonts w:ascii="Calibri" w:cs="Calibri" w:eastAsia="Calibri" w:hAnsi="Calibri"/>
          <w:b/>
          <w:bCs/>
          <w:sz w:val="21"/>
          <w:szCs w:val="21"/>
        </w:rPr>
        <w:t xml:space="preserve">This Section is material. A breach of it is grounds for immediate termination under Section 14.4.</w:t>
      </w:r>
    </w:p>
    <w:p>
      <w:pPr>
        <w:spacing w:after="140" w:line="276"/>
        <w:ind w:left="480" w:hanging="480"/>
      </w:pPr>
      <w:r>
        <w:rPr>
          <w:rFonts w:ascii="Calibri" w:cs="Calibri" w:eastAsia="Calibri" w:hAnsi="Calibri"/>
          <w:b/>
          <w:bCs/>
          <w:sz w:val="21"/>
          <w:szCs w:val="21"/>
        </w:rPr>
        <w:t xml:space="preserve">9.1 </w:t>
      </w:r>
      <w:r>
        <w:rPr>
          <w:rFonts w:ascii="Calibri" w:cs="Calibri" w:eastAsia="Calibri" w:hAnsi="Calibri"/>
          <w:sz w:val="21"/>
          <w:szCs w:val="21"/>
        </w:rPr>
        <w:t xml:space="preserve">Pre-approval. Partner will submit every advertisement, landing page, email, script, social post, and creative asset that references the Services or uses Fundhub’s Marks to Fundhub for written approval before publication. Fundhub will respond within five (5) business days. Approval may be withdrawn at any time on written notice, and Partner will remove or amend the material within two (2) business days.</w:t>
      </w:r>
    </w:p>
    <w:p>
      <w:pPr>
        <w:spacing w:after="140" w:line="276"/>
        <w:ind w:left="480" w:hanging="480"/>
      </w:pPr>
      <w:r>
        <w:rPr>
          <w:rFonts w:ascii="Calibri" w:cs="Calibri" w:eastAsia="Calibri" w:hAnsi="Calibri"/>
          <w:b/>
          <w:bCs/>
          <w:sz w:val="21"/>
          <w:szCs w:val="21"/>
        </w:rPr>
        <w:t xml:space="preserve">9.2 </w:t>
      </w:r>
      <w:r>
        <w:rPr>
          <w:rFonts w:ascii="Calibri" w:cs="Calibri" w:eastAsia="Calibri" w:hAnsi="Calibri"/>
          <w:sz w:val="21"/>
          <w:szCs w:val="21"/>
        </w:rPr>
        <w:t xml:space="preserve">Prohibited claims. Partner will not state or imply, in any medium: that any specific credit score, score increase, or score range will be achieved; that any dispute, deletion, or removal of information from a credit report is guaranteed, or that accurate and timely information can be removed; that funding, credit approval, or any specific funding amount is guaranteed or pre-approved; any specific income, revenue, or business result; that Fundhub is a lender, bank, law firm, or government program; or that the Services are free, risk-free, or carry a guarantee that Fundhub has not published in writing.</w:t>
      </w:r>
    </w:p>
    <w:p>
      <w:pPr>
        <w:spacing w:after="140" w:line="276"/>
        <w:ind w:left="480" w:hanging="480"/>
      </w:pPr>
      <w:r>
        <w:rPr>
          <w:rFonts w:ascii="Calibri" w:cs="Calibri" w:eastAsia="Calibri" w:hAnsi="Calibri"/>
          <w:b/>
          <w:bCs/>
          <w:sz w:val="21"/>
          <w:szCs w:val="21"/>
        </w:rPr>
        <w:t xml:space="preserve">9.3 </w:t>
      </w:r>
      <w:r>
        <w:rPr>
          <w:rFonts w:ascii="Calibri" w:cs="Calibri" w:eastAsia="Calibri" w:hAnsi="Calibri"/>
          <w:sz w:val="21"/>
          <w:szCs w:val="21"/>
        </w:rPr>
        <w:t xml:space="preserve">Done-for-you Services. Certain Services in Schedule A are performed by Fundhub on the client’s behalf rather than taught to the client. For those Services, Partner will not describe, advertise, or contract for them under Partner’s own brand except under Section 2.3 Option B with the evidence required there. In all cases, no fee for any such Service may be advertised or collected before the service to which it relates has been fully performed, where applicable law so requires, and Partner will not represent otherwise.</w:t>
      </w:r>
    </w:p>
    <w:p>
      <w:pPr>
        <w:spacing w:after="140" w:line="276"/>
        <w:ind w:left="480" w:hanging="480"/>
      </w:pPr>
      <w:r>
        <w:rPr>
          <w:rFonts w:ascii="Calibri" w:cs="Calibri" w:eastAsia="Calibri" w:hAnsi="Calibri"/>
          <w:b/>
          <w:bCs/>
          <w:sz w:val="21"/>
          <w:szCs w:val="21"/>
        </w:rPr>
        <w:t xml:space="preserve">9.4 </w:t>
      </w:r>
      <w:r>
        <w:rPr>
          <w:rFonts w:ascii="Calibri" w:cs="Calibri" w:eastAsia="Calibri" w:hAnsi="Calibri"/>
          <w:sz w:val="21"/>
          <w:szCs w:val="21"/>
        </w:rPr>
        <w:t xml:space="preserve">Education Services. Capital Academy and Capital Blueprint are educational programs. The client performs their own work and submits their own documents. Partner will not describe them as done-for-you, as credit repair, or as a funding application service.</w:t>
      </w:r>
    </w:p>
    <w:p>
      <w:pPr>
        <w:spacing w:after="140" w:line="276"/>
        <w:ind w:left="480" w:hanging="480"/>
      </w:pPr>
      <w:r>
        <w:rPr>
          <w:rFonts w:ascii="Calibri" w:cs="Calibri" w:eastAsia="Calibri" w:hAnsi="Calibri"/>
          <w:b/>
          <w:bCs/>
          <w:sz w:val="21"/>
          <w:szCs w:val="21"/>
        </w:rPr>
        <w:t xml:space="preserve">9.5 </w:t>
      </w:r>
      <w:r>
        <w:rPr>
          <w:rFonts w:ascii="Calibri" w:cs="Calibri" w:eastAsia="Calibri" w:hAnsi="Calibri"/>
          <w:sz w:val="21"/>
          <w:szCs w:val="21"/>
        </w:rPr>
        <w:t xml:space="preserve">Testimonials. Partner will use only testimonials that are genuine, that it can substantiate on request, and that carry any disclosure required by the FTC’s endorsement guides. Partner will not fabricate, incentivise without disclosure, or edit a testimonial in a way that changes its meaning.</w:t>
      </w:r>
    </w:p>
    <w:p>
      <w:pPr>
        <w:spacing w:after="140" w:line="276"/>
        <w:ind w:left="480" w:hanging="480"/>
      </w:pPr>
      <w:r>
        <w:rPr>
          <w:rFonts w:ascii="Calibri" w:cs="Calibri" w:eastAsia="Calibri" w:hAnsi="Calibri"/>
          <w:b/>
          <w:bCs/>
          <w:sz w:val="21"/>
          <w:szCs w:val="21"/>
        </w:rPr>
        <w:t xml:space="preserve">9.6 </w:t>
      </w:r>
      <w:r>
        <w:rPr>
          <w:rFonts w:ascii="Calibri" w:cs="Calibri" w:eastAsia="Calibri" w:hAnsi="Calibri"/>
          <w:sz w:val="21"/>
          <w:szCs w:val="21"/>
        </w:rPr>
        <w:t xml:space="preserve">Records. Partner will retain copies of all published marketing relating to the Services, and the approvals for it, for four (4) years, and will make them available to Fundhub on written request.</w:t>
      </w:r>
    </w:p>
    <w:p>
      <w:pPr>
        <w:pStyle w:val="Heading1"/>
        <w:spacing w:after="140" w:before="320"/>
      </w:pPr>
      <w:r>
        <w:rPr>
          <w:rFonts w:ascii="Calibri" w:cs="Calibri" w:eastAsia="Calibri" w:hAnsi="Calibri"/>
          <w:b/>
          <w:bCs/>
          <w:color w:val="1A1A1A"/>
          <w:sz w:val="24"/>
          <w:szCs w:val="24"/>
        </w:rPr>
        <w:t xml:space="preserve">10. Optional Media Buying Services</w:t>
      </w:r>
    </w:p>
    <w:p>
      <w:pPr>
        <w:spacing w:after="140" w:line="276"/>
        <w:ind w:left="480" w:hanging="480"/>
      </w:pPr>
      <w:r>
        <w:rPr>
          <w:rFonts w:ascii="Calibri" w:cs="Calibri" w:eastAsia="Calibri" w:hAnsi="Calibri"/>
          <w:b/>
          <w:bCs/>
          <w:sz w:val="21"/>
          <w:szCs w:val="21"/>
        </w:rPr>
        <w:t xml:space="preserve">10.1 </w:t>
      </w:r>
      <w:r>
        <w:rPr>
          <w:rFonts w:ascii="Calibri" w:cs="Calibri" w:eastAsia="Calibri" w:hAnsi="Calibri"/>
          <w:sz w:val="21"/>
          <w:szCs w:val="21"/>
        </w:rPr>
        <w:t xml:space="preserve">Partner may engage Fundhub to plan, build, and manage Partner’s paid advertising and media buying by executing Schedule B. Schedule B is optional and is not a condition of this Agreement.</w:t>
      </w:r>
    </w:p>
    <w:p>
      <w:pPr>
        <w:spacing w:after="140" w:line="276"/>
        <w:ind w:left="480" w:hanging="480"/>
      </w:pPr>
      <w:r>
        <w:rPr>
          <w:rFonts w:ascii="Calibri" w:cs="Calibri" w:eastAsia="Calibri" w:hAnsi="Calibri"/>
          <w:b/>
          <w:bCs/>
          <w:sz w:val="21"/>
          <w:szCs w:val="21"/>
        </w:rPr>
        <w:t xml:space="preserve">10.2 </w:t>
      </w:r>
      <w:r>
        <w:rPr>
          <w:rFonts w:ascii="Calibri" w:cs="Calibri" w:eastAsia="Calibri" w:hAnsi="Calibri"/>
          <w:sz w:val="21"/>
          <w:szCs w:val="21"/>
        </w:rPr>
        <w:t xml:space="preserve">Fees for media buying services are separate from and additional to the Program Fee and the Revenue Share, and are set out in Schedule B.</w:t>
      </w:r>
    </w:p>
    <w:p>
      <w:pPr>
        <w:spacing w:after="140" w:line="276"/>
        <w:ind w:left="480" w:hanging="480"/>
      </w:pPr>
      <w:r>
        <w:rPr>
          <w:rFonts w:ascii="Calibri" w:cs="Calibri" w:eastAsia="Calibri" w:hAnsi="Calibri"/>
          <w:b/>
          <w:bCs/>
          <w:sz w:val="21"/>
          <w:szCs w:val="21"/>
        </w:rPr>
        <w:t xml:space="preserve">10.3 </w:t>
      </w:r>
      <w:r>
        <w:rPr>
          <w:rFonts w:ascii="Calibri" w:cs="Calibri" w:eastAsia="Calibri" w:hAnsi="Calibri"/>
          <w:sz w:val="21"/>
          <w:szCs w:val="21"/>
        </w:rPr>
        <w:t xml:space="preserve">Advertising platform spend is paid by the Party identified in Schedule B, directly to the platform. Advertising spend is never Net Revenue and is not shared under Section 5.</w:t>
      </w:r>
    </w:p>
    <w:p>
      <w:pPr>
        <w:spacing w:after="140" w:line="276"/>
        <w:ind w:left="480" w:hanging="480"/>
      </w:pPr>
      <w:r>
        <w:rPr>
          <w:rFonts w:ascii="Calibri" w:cs="Calibri" w:eastAsia="Calibri" w:hAnsi="Calibri"/>
          <w:b/>
          <w:bCs/>
          <w:sz w:val="21"/>
          <w:szCs w:val="21"/>
        </w:rPr>
        <w:t xml:space="preserve">10.4 </w:t>
      </w:r>
      <w:r>
        <w:rPr>
          <w:rFonts w:ascii="Calibri" w:cs="Calibri" w:eastAsia="Calibri" w:hAnsi="Calibri"/>
          <w:sz w:val="21"/>
          <w:szCs w:val="21"/>
        </w:rPr>
        <w:t xml:space="preserve">Fundhub does not guarantee any advertising result, including impressions, clicks, cost per acquisition, lead volume, lead quality, return on ad spend, or account standing. Advertising platforms may reject, restrict, or ban accounts and creative for reasons outside either Party’s control.</w:t>
      </w:r>
    </w:p>
    <w:p>
      <w:pPr>
        <w:pStyle w:val="Heading1"/>
        <w:spacing w:after="140" w:before="320"/>
      </w:pPr>
      <w:r>
        <w:rPr>
          <w:rFonts w:ascii="Calibri" w:cs="Calibri" w:eastAsia="Calibri" w:hAnsi="Calibri"/>
          <w:b/>
          <w:bCs/>
          <w:color w:val="1A1A1A"/>
          <w:sz w:val="24"/>
          <w:szCs w:val="24"/>
        </w:rPr>
        <w:t xml:space="preserve">11. Client Information and Privacy</w:t>
      </w:r>
    </w:p>
    <w:p>
      <w:pPr>
        <w:spacing w:after="140" w:line="276"/>
        <w:ind w:left="480" w:hanging="480"/>
      </w:pPr>
      <w:r>
        <w:rPr>
          <w:rFonts w:ascii="Calibri" w:cs="Calibri" w:eastAsia="Calibri" w:hAnsi="Calibri"/>
          <w:b/>
          <w:bCs/>
          <w:sz w:val="21"/>
          <w:szCs w:val="21"/>
        </w:rPr>
        <w:t xml:space="preserve">11.1 </w:t>
      </w:r>
      <w:r>
        <w:rPr>
          <w:rFonts w:ascii="Calibri" w:cs="Calibri" w:eastAsia="Calibri" w:hAnsi="Calibri"/>
          <w:sz w:val="21"/>
          <w:szCs w:val="21"/>
        </w:rPr>
        <w:t xml:space="preserve">Each Party will comply with applicable privacy and data protection law in its handling of prospect and client information, including the Gramm-Leach-Bliley Act and its safeguards requirements where applicable, and applicable state privacy statutes.</w:t>
      </w:r>
    </w:p>
    <w:p>
      <w:pPr>
        <w:spacing w:after="140" w:line="276"/>
        <w:ind w:left="480" w:hanging="480"/>
      </w:pPr>
      <w:r>
        <w:rPr>
          <w:rFonts w:ascii="Calibri" w:cs="Calibri" w:eastAsia="Calibri" w:hAnsi="Calibri"/>
          <w:b/>
          <w:bCs/>
          <w:sz w:val="21"/>
          <w:szCs w:val="21"/>
        </w:rPr>
        <w:t xml:space="preserve">11.2 </w:t>
      </w:r>
      <w:r>
        <w:rPr>
          <w:rFonts w:ascii="Calibri" w:cs="Calibri" w:eastAsia="Calibri" w:hAnsi="Calibri"/>
          <w:sz w:val="21"/>
          <w:szCs w:val="21"/>
        </w:rPr>
        <w:t xml:space="preserve">Partner will collect and transmit only the information Fundhub requests, will transmit it by the secure method Fundhub designates, and will not sell, rent, or license prospect or Referred Client information to any third party.</w:t>
      </w:r>
    </w:p>
    <w:p>
      <w:pPr>
        <w:spacing w:after="140" w:line="276"/>
        <w:ind w:left="480" w:hanging="480"/>
      </w:pPr>
      <w:r>
        <w:rPr>
          <w:rFonts w:ascii="Calibri" w:cs="Calibri" w:eastAsia="Calibri" w:hAnsi="Calibri"/>
          <w:b/>
          <w:bCs/>
          <w:sz w:val="21"/>
          <w:szCs w:val="21"/>
        </w:rPr>
        <w:t xml:space="preserve">11.3 </w:t>
      </w:r>
      <w:r>
        <w:rPr>
          <w:rFonts w:ascii="Calibri" w:cs="Calibri" w:eastAsia="Calibri" w:hAnsi="Calibri"/>
          <w:sz w:val="21"/>
          <w:szCs w:val="21"/>
        </w:rPr>
        <w:t xml:space="preserve">Partner will not request, collect, store, or transmit a prospect’s full Social Security number, date of birth, government identification number, or financial account or card number. Those are collected by Fundhub directly from the client.</w:t>
      </w:r>
    </w:p>
    <w:p>
      <w:pPr>
        <w:spacing w:after="140" w:line="276"/>
        <w:ind w:left="480" w:hanging="480"/>
      </w:pPr>
      <w:r>
        <w:rPr>
          <w:rFonts w:ascii="Calibri" w:cs="Calibri" w:eastAsia="Calibri" w:hAnsi="Calibri"/>
          <w:b/>
          <w:bCs/>
          <w:sz w:val="21"/>
          <w:szCs w:val="21"/>
        </w:rPr>
        <w:t xml:space="preserve">11.4 </w:t>
      </w:r>
      <w:r>
        <w:rPr>
          <w:rFonts w:ascii="Calibri" w:cs="Calibri" w:eastAsia="Calibri" w:hAnsi="Calibri"/>
          <w:sz w:val="21"/>
          <w:szCs w:val="21"/>
        </w:rPr>
        <w:t xml:space="preserve">Partner will not obtain, attempt to obtain, or use a consumer report on any prospect or Referred Client. Fundhub obtains consumer information directly from the client under the client’s own authorization.</w:t>
      </w:r>
    </w:p>
    <w:p>
      <w:pPr>
        <w:spacing w:after="140" w:line="276"/>
        <w:ind w:left="480" w:hanging="480"/>
      </w:pPr>
      <w:r>
        <w:rPr>
          <w:rFonts w:ascii="Calibri" w:cs="Calibri" w:eastAsia="Calibri" w:hAnsi="Calibri"/>
          <w:b/>
          <w:bCs/>
          <w:sz w:val="21"/>
          <w:szCs w:val="21"/>
        </w:rPr>
        <w:t xml:space="preserve">11.5 </w:t>
      </w:r>
      <w:r>
        <w:rPr>
          <w:rFonts w:ascii="Calibri" w:cs="Calibri" w:eastAsia="Calibri" w:hAnsi="Calibri"/>
          <w:sz w:val="21"/>
          <w:szCs w:val="21"/>
        </w:rPr>
        <w:t xml:space="preserve">Each Party will notify the other without undue delay, and in any event within seventy-two (72) hours, after becoming aware of any unauthorized access to or disclosure of prospect or client information relating to this Agreement.</w:t>
      </w:r>
    </w:p>
    <w:p>
      <w:pPr>
        <w:spacing w:after="140" w:line="276"/>
        <w:ind w:left="480" w:hanging="480"/>
      </w:pPr>
      <w:r>
        <w:rPr>
          <w:rFonts w:ascii="Calibri" w:cs="Calibri" w:eastAsia="Calibri" w:hAnsi="Calibri"/>
          <w:b/>
          <w:bCs/>
          <w:sz w:val="21"/>
          <w:szCs w:val="21"/>
        </w:rPr>
        <w:t xml:space="preserve">11.6 </w:t>
      </w:r>
      <w:r>
        <w:rPr>
          <w:rFonts w:ascii="Calibri" w:cs="Calibri" w:eastAsia="Calibri" w:hAnsi="Calibri"/>
          <w:sz w:val="21"/>
          <w:szCs w:val="21"/>
        </w:rPr>
        <w:t xml:space="preserve">Referred Client records generated by Fundhub in the course of fulfillment are Fundhub’s records. Partner’s own audience and marketing lists remain Partner’s.</w:t>
      </w:r>
    </w:p>
    <w:p>
      <w:pPr>
        <w:pStyle w:val="Heading1"/>
        <w:spacing w:after="140" w:before="320"/>
      </w:pPr>
      <w:r>
        <w:rPr>
          <w:rFonts w:ascii="Calibri" w:cs="Calibri" w:eastAsia="Calibri" w:hAnsi="Calibri"/>
          <w:b/>
          <w:bCs/>
          <w:color w:val="1A1A1A"/>
          <w:sz w:val="24"/>
          <w:szCs w:val="24"/>
        </w:rPr>
        <w:t xml:space="preserve">12. Intellectual Property and Brand Licence</w:t>
      </w:r>
    </w:p>
    <w:p>
      <w:pPr>
        <w:spacing w:after="140" w:line="276"/>
        <w:ind w:left="480" w:hanging="480"/>
      </w:pPr>
      <w:r>
        <w:rPr>
          <w:rFonts w:ascii="Calibri" w:cs="Calibri" w:eastAsia="Calibri" w:hAnsi="Calibri"/>
          <w:b/>
          <w:bCs/>
          <w:sz w:val="21"/>
          <w:szCs w:val="21"/>
        </w:rPr>
        <w:t xml:space="preserve">12.1 </w:t>
      </w:r>
      <w:r>
        <w:rPr>
          <w:rFonts w:ascii="Calibri" w:cs="Calibri" w:eastAsia="Calibri" w:hAnsi="Calibri"/>
          <w:sz w:val="21"/>
          <w:szCs w:val="21"/>
        </w:rPr>
        <w:t xml:space="preserve">Fundhub owns all right, title, and interest in the Services, its platform, curricula, templates, workbooks, systems, processes, and Marks. Partner receives no ownership interest.</w:t>
      </w:r>
    </w:p>
    <w:p>
      <w:pPr>
        <w:spacing w:after="140" w:line="276"/>
        <w:ind w:left="480" w:hanging="480"/>
      </w:pPr>
      <w:r>
        <w:rPr>
          <w:rFonts w:ascii="Calibri" w:cs="Calibri" w:eastAsia="Calibri" w:hAnsi="Calibri"/>
          <w:b/>
          <w:bCs/>
          <w:sz w:val="21"/>
          <w:szCs w:val="21"/>
        </w:rPr>
        <w:t xml:space="preserve">12.2 </w:t>
      </w:r>
      <w:r>
        <w:rPr>
          <w:rFonts w:ascii="Calibri" w:cs="Calibri" w:eastAsia="Calibri" w:hAnsi="Calibri"/>
          <w:sz w:val="21"/>
          <w:szCs w:val="21"/>
        </w:rPr>
        <w:t xml:space="preserve">Fundhub grants Partner a limited, non-exclusive, non-transferable, revocable licence to use Fundhub’s Marks during the Term solely in materials approved under Section 9.1 and in accordance with any brand guidelines Fundhub provides.</w:t>
      </w:r>
    </w:p>
    <w:p>
      <w:pPr>
        <w:spacing w:after="140" w:line="276"/>
        <w:ind w:left="480" w:hanging="480"/>
      </w:pPr>
      <w:r>
        <w:rPr>
          <w:rFonts w:ascii="Calibri" w:cs="Calibri" w:eastAsia="Calibri" w:hAnsi="Calibri"/>
          <w:b/>
          <w:bCs/>
          <w:sz w:val="21"/>
          <w:szCs w:val="21"/>
        </w:rPr>
        <w:t xml:space="preserve">12.3 </w:t>
      </w:r>
      <w:r>
        <w:rPr>
          <w:rFonts w:ascii="Calibri" w:cs="Calibri" w:eastAsia="Calibri" w:hAnsi="Calibri"/>
          <w:sz w:val="21"/>
          <w:szCs w:val="21"/>
        </w:rPr>
        <w:t xml:space="preserve">Where Section 2.3 Option B is elected, Partner grants Fundhub a limited, non-exclusive, non-transferable, revocable licence to use Partner’s Marks during the Term solely to deliver client-facing materials under Partner’s brand.</w:t>
      </w:r>
    </w:p>
    <w:p>
      <w:pPr>
        <w:spacing w:after="140" w:line="276"/>
        <w:ind w:left="480" w:hanging="480"/>
      </w:pPr>
      <w:r>
        <w:rPr>
          <w:rFonts w:ascii="Calibri" w:cs="Calibri" w:eastAsia="Calibri" w:hAnsi="Calibri"/>
          <w:b/>
          <w:bCs/>
          <w:sz w:val="21"/>
          <w:szCs w:val="21"/>
        </w:rPr>
        <w:t xml:space="preserve">12.4 </w:t>
      </w:r>
      <w:r>
        <w:rPr>
          <w:rFonts w:ascii="Calibri" w:cs="Calibri" w:eastAsia="Calibri" w:hAnsi="Calibri"/>
          <w:sz w:val="21"/>
          <w:szCs w:val="21"/>
        </w:rPr>
        <w:t xml:space="preserve">Each licence terminates automatically on expiry or termination of this Agreement. Within ten (10) days after termination, each Party will cease all use of the other’s Marks and remove them from its properties.</w:t>
      </w:r>
    </w:p>
    <w:p>
      <w:pPr>
        <w:spacing w:after="140" w:line="276"/>
        <w:ind w:left="480" w:hanging="480"/>
      </w:pPr>
      <w:r>
        <w:rPr>
          <w:rFonts w:ascii="Calibri" w:cs="Calibri" w:eastAsia="Calibri" w:hAnsi="Calibri"/>
          <w:b/>
          <w:bCs/>
          <w:sz w:val="21"/>
          <w:szCs w:val="21"/>
        </w:rPr>
        <w:t xml:space="preserve">12.5 </w:t>
      </w:r>
      <w:r>
        <w:rPr>
          <w:rFonts w:ascii="Calibri" w:cs="Calibri" w:eastAsia="Calibri" w:hAnsi="Calibri"/>
          <w:sz w:val="21"/>
          <w:szCs w:val="21"/>
        </w:rPr>
        <w:t xml:space="preserve">Partner will not register, or attempt to register, any domain name, social handle, trademark, or business name that incorporates or is confusingly similar to any Fundhub Mark.</w:t>
      </w:r>
    </w:p>
    <w:p>
      <w:pPr>
        <w:pStyle w:val="Heading1"/>
        <w:spacing w:after="140" w:before="320"/>
      </w:pPr>
      <w:r>
        <w:rPr>
          <w:rFonts w:ascii="Calibri" w:cs="Calibri" w:eastAsia="Calibri" w:hAnsi="Calibri"/>
          <w:b/>
          <w:bCs/>
          <w:color w:val="1A1A1A"/>
          <w:sz w:val="24"/>
          <w:szCs w:val="24"/>
        </w:rPr>
        <w:t xml:space="preserve">13. Confidentiality</w:t>
      </w:r>
    </w:p>
    <w:p>
      <w:pPr>
        <w:spacing w:after="140" w:line="276"/>
        <w:ind w:left="480" w:hanging="480"/>
      </w:pPr>
      <w:r>
        <w:rPr>
          <w:rFonts w:ascii="Calibri" w:cs="Calibri" w:eastAsia="Calibri" w:hAnsi="Calibri"/>
          <w:b/>
          <w:bCs/>
          <w:sz w:val="21"/>
          <w:szCs w:val="21"/>
        </w:rPr>
        <w:t xml:space="preserve">13.1 </w:t>
      </w:r>
      <w:r>
        <w:rPr>
          <w:rFonts w:ascii="Calibri" w:cs="Calibri" w:eastAsia="Calibri" w:hAnsi="Calibri"/>
          <w:sz w:val="21"/>
          <w:szCs w:val="21"/>
        </w:rPr>
        <w:t xml:space="preserve">Each Party may receive non-public information of the other, including pricing, client data, financial statements, conversion and performance data, systems, curricula, and the terms of this Agreement (“Confidential Information”).</w:t>
      </w:r>
    </w:p>
    <w:p>
      <w:pPr>
        <w:spacing w:after="140" w:line="276"/>
        <w:ind w:left="480" w:hanging="480"/>
      </w:pPr>
      <w:r>
        <w:rPr>
          <w:rFonts w:ascii="Calibri" w:cs="Calibri" w:eastAsia="Calibri" w:hAnsi="Calibri"/>
          <w:b/>
          <w:bCs/>
          <w:sz w:val="21"/>
          <w:szCs w:val="21"/>
        </w:rPr>
        <w:t xml:space="preserve">13.2 </w:t>
      </w:r>
      <w:r>
        <w:rPr>
          <w:rFonts w:ascii="Calibri" w:cs="Calibri" w:eastAsia="Calibri" w:hAnsi="Calibri"/>
          <w:sz w:val="21"/>
          <w:szCs w:val="21"/>
        </w:rPr>
        <w:t xml:space="preserve">The receiving Party will use Confidential Information only to perform this Agreement, will protect it with at least reasonable care, and will disclose it only to its personnel and advisors who need it and are bound by comparable obligations.</w:t>
      </w:r>
    </w:p>
    <w:p>
      <w:pPr>
        <w:spacing w:after="140" w:line="276"/>
        <w:ind w:left="480" w:hanging="480"/>
      </w:pPr>
      <w:r>
        <w:rPr>
          <w:rFonts w:ascii="Calibri" w:cs="Calibri" w:eastAsia="Calibri" w:hAnsi="Calibri"/>
          <w:b/>
          <w:bCs/>
          <w:sz w:val="21"/>
          <w:szCs w:val="21"/>
        </w:rPr>
        <w:t xml:space="preserve">13.3 </w:t>
      </w:r>
      <w:r>
        <w:rPr>
          <w:rFonts w:ascii="Calibri" w:cs="Calibri" w:eastAsia="Calibri" w:hAnsi="Calibri"/>
          <w:sz w:val="21"/>
          <w:szCs w:val="21"/>
        </w:rPr>
        <w:t xml:space="preserve">Confidential Information does not include information that is or becomes public without breach, was rightfully known without restriction before disclosure, is rightfully received from a third party without restriction, or is independently developed without use of the disclosing Party’s information.</w:t>
      </w:r>
    </w:p>
    <w:p>
      <w:pPr>
        <w:spacing w:after="140" w:line="276"/>
        <w:ind w:left="480" w:hanging="480"/>
      </w:pPr>
      <w:r>
        <w:rPr>
          <w:rFonts w:ascii="Calibri" w:cs="Calibri" w:eastAsia="Calibri" w:hAnsi="Calibri"/>
          <w:b/>
          <w:bCs/>
          <w:sz w:val="21"/>
          <w:szCs w:val="21"/>
        </w:rPr>
        <w:t xml:space="preserve">13.4 </w:t>
      </w:r>
      <w:r>
        <w:rPr>
          <w:rFonts w:ascii="Calibri" w:cs="Calibri" w:eastAsia="Calibri" w:hAnsi="Calibri"/>
          <w:sz w:val="21"/>
          <w:szCs w:val="21"/>
        </w:rPr>
        <w:t xml:space="preserve">A Party may disclose Confidential Information where legally compelled, after giving the other Party prompt written notice where lawful and reasonably cooperating in any effort to limit the disclosure.</w:t>
      </w:r>
    </w:p>
    <w:p>
      <w:pPr>
        <w:spacing w:after="140" w:line="276"/>
        <w:ind w:left="480" w:hanging="480"/>
      </w:pPr>
      <w:r>
        <w:rPr>
          <w:rFonts w:ascii="Calibri" w:cs="Calibri" w:eastAsia="Calibri" w:hAnsi="Calibri"/>
          <w:b/>
          <w:bCs/>
          <w:sz w:val="21"/>
          <w:szCs w:val="21"/>
        </w:rPr>
        <w:t xml:space="preserve">13.5 </w:t>
      </w:r>
      <w:r>
        <w:rPr>
          <w:rFonts w:ascii="Calibri" w:cs="Calibri" w:eastAsia="Calibri" w:hAnsi="Calibri"/>
          <w:sz w:val="21"/>
          <w:szCs w:val="21"/>
        </w:rPr>
        <w:t xml:space="preserve">These obligations survive for three (3) years after termination, and indefinitely as to prospect and client personal information and trade secrets.</w:t>
      </w:r>
    </w:p>
    <w:p>
      <w:pPr>
        <w:pStyle w:val="Heading1"/>
        <w:spacing w:after="140" w:before="320"/>
      </w:pPr>
      <w:r>
        <w:rPr>
          <w:rFonts w:ascii="Calibri" w:cs="Calibri" w:eastAsia="Calibri" w:hAnsi="Calibri"/>
          <w:b/>
          <w:bCs/>
          <w:color w:val="1A1A1A"/>
          <w:sz w:val="24"/>
          <w:szCs w:val="24"/>
        </w:rPr>
        <w:t xml:space="preserve">14. Term and Termination</w:t>
      </w:r>
    </w:p>
    <w:p>
      <w:pPr>
        <w:spacing w:after="140" w:line="276"/>
        <w:ind w:left="480" w:hanging="480"/>
      </w:pPr>
      <w:r>
        <w:rPr>
          <w:rFonts w:ascii="Calibri" w:cs="Calibri" w:eastAsia="Calibri" w:hAnsi="Calibri"/>
          <w:b/>
          <w:bCs/>
          <w:sz w:val="21"/>
          <w:szCs w:val="21"/>
        </w:rPr>
        <w:t xml:space="preserve">14.1 </w:t>
      </w:r>
      <w:r>
        <w:rPr>
          <w:rFonts w:ascii="Calibri" w:cs="Calibri" w:eastAsia="Calibri" w:hAnsi="Calibri"/>
          <w:sz w:val="21"/>
          <w:szCs w:val="21"/>
        </w:rPr>
        <w:t xml:space="preserve">Initial Term. This Agreement begins on the Effective Date and continues for twelve (12) months (the “Initial Term”).</w:t>
      </w:r>
    </w:p>
    <w:p>
      <w:pPr>
        <w:spacing w:after="140" w:line="276"/>
        <w:ind w:left="480" w:hanging="480"/>
      </w:pPr>
      <w:r>
        <w:rPr>
          <w:rFonts w:ascii="Calibri" w:cs="Calibri" w:eastAsia="Calibri" w:hAnsi="Calibri"/>
          <w:b/>
          <w:bCs/>
          <w:sz w:val="21"/>
          <w:szCs w:val="21"/>
        </w:rPr>
        <w:t xml:space="preserve">14.2 </w:t>
      </w:r>
      <w:r>
        <w:rPr>
          <w:rFonts w:ascii="Calibri" w:cs="Calibri" w:eastAsia="Calibri" w:hAnsi="Calibri"/>
          <w:sz w:val="21"/>
          <w:szCs w:val="21"/>
        </w:rPr>
        <w:t xml:space="preserve">Renewal. It then renews automatically for successive twelve-month terms unless either Party gives written notice of non-renewal at least thirty (30) days before the end of the then-current term. The Initial Term and any renewals are the “Term.”</w:t>
      </w:r>
    </w:p>
    <w:p>
      <w:pPr>
        <w:spacing w:after="140" w:line="276"/>
        <w:ind w:left="480" w:hanging="480"/>
      </w:pPr>
      <w:r>
        <w:rPr>
          <w:rFonts w:ascii="Calibri" w:cs="Calibri" w:eastAsia="Calibri" w:hAnsi="Calibri"/>
          <w:b/>
          <w:bCs/>
          <w:sz w:val="21"/>
          <w:szCs w:val="21"/>
        </w:rPr>
        <w:t xml:space="preserve">14.3 </w:t>
      </w:r>
      <w:r>
        <w:rPr>
          <w:rFonts w:ascii="Calibri" w:cs="Calibri" w:eastAsia="Calibri" w:hAnsi="Calibri"/>
          <w:sz w:val="21"/>
          <w:szCs w:val="21"/>
        </w:rPr>
        <w:t xml:space="preserve">Termination for convenience. After the Initial Term, either Party may terminate on sixty (60) days’ written notice. Fundhub may terminate during the Initial Term on sixty (60) days’ written notice, subject to the pro rata refund in Section 3.4.</w:t>
      </w:r>
    </w:p>
    <w:p>
      <w:pPr>
        <w:spacing w:after="140" w:line="276"/>
        <w:ind w:left="480" w:hanging="480"/>
      </w:pPr>
      <w:r>
        <w:rPr>
          <w:rFonts w:ascii="Calibri" w:cs="Calibri" w:eastAsia="Calibri" w:hAnsi="Calibri"/>
          <w:b/>
          <w:bCs/>
          <w:sz w:val="21"/>
          <w:szCs w:val="21"/>
        </w:rPr>
        <w:t xml:space="preserve">14.4 </w:t>
      </w:r>
      <w:r>
        <w:rPr>
          <w:rFonts w:ascii="Calibri" w:cs="Calibri" w:eastAsia="Calibri" w:hAnsi="Calibri"/>
          <w:sz w:val="21"/>
          <w:szCs w:val="21"/>
        </w:rPr>
        <w:t xml:space="preserve">Termination for cause. Either Party may terminate immediately on written notice if the other materially breaches and fails to cure within fifteen (15) days after written notice, or becomes insolvent, files or has filed against it a bankruptcy petition, or makes an assignment for the benefit of creditors. Fundhub may terminate immediately and without a cure period for a breach of Section 4.3, Section 9, or Section 11.</w:t>
      </w:r>
    </w:p>
    <w:p>
      <w:pPr>
        <w:spacing w:after="140" w:line="276"/>
        <w:ind w:left="480" w:hanging="480"/>
      </w:pPr>
      <w:r>
        <w:rPr>
          <w:rFonts w:ascii="Calibri" w:cs="Calibri" w:eastAsia="Calibri" w:hAnsi="Calibri"/>
          <w:b/>
          <w:bCs/>
          <w:sz w:val="21"/>
          <w:szCs w:val="21"/>
        </w:rPr>
        <w:t xml:space="preserve">14.5 </w:t>
      </w:r>
      <w:r>
        <w:rPr>
          <w:rFonts w:ascii="Calibri" w:cs="Calibri" w:eastAsia="Calibri" w:hAnsi="Calibri"/>
          <w:sz w:val="21"/>
          <w:szCs w:val="21"/>
        </w:rPr>
        <w:t xml:space="preserve">Suspension. Fundhub may suspend Partner’s submissions and Marks licence immediately, without terminating, pending investigation of a suspected breach of Section 4.3, Section 9, or Section 11, or of a regulatory inquiry. Fundhub will continue to fulfil for existing Referred Clients and to pay Revenue Share earned during suspension.</w:t>
      </w:r>
    </w:p>
    <w:p>
      <w:pPr>
        <w:spacing w:after="140" w:line="276"/>
        <w:ind w:left="480" w:hanging="480"/>
      </w:pPr>
      <w:r>
        <w:rPr>
          <w:rFonts w:ascii="Calibri" w:cs="Calibri" w:eastAsia="Calibri" w:hAnsi="Calibri"/>
          <w:b/>
          <w:bCs/>
          <w:sz w:val="21"/>
          <w:szCs w:val="21"/>
        </w:rPr>
        <w:t xml:space="preserve">14.6 </w:t>
      </w:r>
      <w:r>
        <w:rPr>
          <w:rFonts w:ascii="Calibri" w:cs="Calibri" w:eastAsia="Calibri" w:hAnsi="Calibri"/>
          <w:sz w:val="21"/>
          <w:szCs w:val="21"/>
        </w:rPr>
        <w:t xml:space="preserve">Effect. On termination, Partner stops marketing the Services and submitting prospects, each Party returns or destroys the other’s Confidential Information on request, and Fundhub continues to fulfil for every Referred Client already accepted.</w:t>
      </w:r>
    </w:p>
    <w:p>
      <w:pPr>
        <w:pStyle w:val="Heading1"/>
        <w:spacing w:after="140" w:before="320"/>
      </w:pPr>
      <w:r>
        <w:rPr>
          <w:rFonts w:ascii="Calibri" w:cs="Calibri" w:eastAsia="Calibri" w:hAnsi="Calibri"/>
          <w:b/>
          <w:bCs/>
          <w:color w:val="1A1A1A"/>
          <w:sz w:val="24"/>
          <w:szCs w:val="24"/>
        </w:rPr>
        <w:t xml:space="preserve">15. Post-Termination Revenue</w:t>
      </w:r>
    </w:p>
    <w:p>
      <w:pPr>
        <w:spacing w:after="140" w:line="276"/>
        <w:ind w:left="480" w:hanging="480"/>
      </w:pPr>
      <w:r>
        <w:rPr>
          <w:rFonts w:ascii="Calibri" w:cs="Calibri" w:eastAsia="Calibri" w:hAnsi="Calibri"/>
          <w:b/>
          <w:bCs/>
          <w:sz w:val="21"/>
          <w:szCs w:val="21"/>
        </w:rPr>
        <w:t xml:space="preserve">15.1 </w:t>
      </w:r>
      <w:r>
        <w:rPr>
          <w:rFonts w:ascii="Calibri" w:cs="Calibri" w:eastAsia="Calibri" w:hAnsi="Calibri"/>
          <w:sz w:val="21"/>
          <w:szCs w:val="21"/>
        </w:rPr>
        <w:t xml:space="preserve">Tail Period. Fundhub will continue to pay Partner the Revenue Share on Net Revenue collected from Referred Clients accepted before termination, for twelve (12) months after the effective date of termination (the “Tail Period”), on the same statement and payment schedule in Section 6.</w:t>
      </w:r>
    </w:p>
    <w:p>
      <w:pPr>
        <w:spacing w:after="140" w:line="276"/>
        <w:ind w:left="480" w:hanging="480"/>
      </w:pPr>
      <w:r>
        <w:rPr>
          <w:rFonts w:ascii="Calibri" w:cs="Calibri" w:eastAsia="Calibri" w:hAnsi="Calibri"/>
          <w:b/>
          <w:bCs/>
          <w:sz w:val="21"/>
          <w:szCs w:val="21"/>
        </w:rPr>
        <w:t xml:space="preserve">15.2 </w:t>
      </w:r>
      <w:r>
        <w:rPr>
          <w:rFonts w:ascii="Calibri" w:cs="Calibri" w:eastAsia="Calibri" w:hAnsi="Calibri"/>
          <w:sz w:val="21"/>
          <w:szCs w:val="21"/>
        </w:rPr>
        <w:t xml:space="preserve">Forfeiture. No Revenue Share is payable during the Tail Period, and any unpaid Revenue Share is forfeited, where Fundhub terminates for cause under Section 14.4 for a breach of Section 4.3, Section 9, or Section 11.</w:t>
      </w:r>
    </w:p>
    <w:p>
      <w:pPr>
        <w:spacing w:after="140" w:line="276"/>
        <w:ind w:left="480" w:hanging="480"/>
      </w:pPr>
      <w:r>
        <w:rPr>
          <w:rFonts w:ascii="Calibri" w:cs="Calibri" w:eastAsia="Calibri" w:hAnsi="Calibri"/>
          <w:b/>
          <w:bCs/>
          <w:sz w:val="21"/>
          <w:szCs w:val="21"/>
        </w:rPr>
        <w:t xml:space="preserve">15.3 </w:t>
      </w:r>
      <w:r>
        <w:rPr>
          <w:rFonts w:ascii="Calibri" w:cs="Calibri" w:eastAsia="Calibri" w:hAnsi="Calibri"/>
          <w:sz w:val="21"/>
          <w:szCs w:val="21"/>
        </w:rPr>
        <w:t xml:space="preserve">No new referrals. A prospect submitted after termination is not a Referred Client and earns nothing.</w:t>
      </w:r>
    </w:p>
    <w:p>
      <w:pPr>
        <w:pStyle w:val="Heading1"/>
        <w:spacing w:after="140" w:before="320"/>
      </w:pPr>
      <w:r>
        <w:rPr>
          <w:rFonts w:ascii="Calibri" w:cs="Calibri" w:eastAsia="Calibri" w:hAnsi="Calibri"/>
          <w:b/>
          <w:bCs/>
          <w:color w:val="1A1A1A"/>
          <w:sz w:val="24"/>
          <w:szCs w:val="24"/>
        </w:rPr>
        <w:t xml:space="preserve">16. Representations and Warranties</w:t>
      </w:r>
    </w:p>
    <w:p>
      <w:pPr>
        <w:spacing w:after="140" w:line="276"/>
        <w:ind w:left="480" w:hanging="480"/>
      </w:pPr>
      <w:r>
        <w:rPr>
          <w:rFonts w:ascii="Calibri" w:cs="Calibri" w:eastAsia="Calibri" w:hAnsi="Calibri"/>
          <w:b/>
          <w:bCs/>
          <w:sz w:val="21"/>
          <w:szCs w:val="21"/>
        </w:rPr>
        <w:t xml:space="preserve">16.1 </w:t>
      </w:r>
      <w:r>
        <w:rPr>
          <w:rFonts w:ascii="Calibri" w:cs="Calibri" w:eastAsia="Calibri" w:hAnsi="Calibri"/>
          <w:sz w:val="21"/>
          <w:szCs w:val="21"/>
        </w:rPr>
        <w:t xml:space="preserve">Each Party represents that it is duly organized and in good standing, has authority to enter this Agreement, and that this Agreement is binding on it.</w:t>
      </w:r>
    </w:p>
    <w:p>
      <w:pPr>
        <w:spacing w:after="140" w:line="276"/>
        <w:ind w:left="480" w:hanging="480"/>
      </w:pPr>
      <w:r>
        <w:rPr>
          <w:rFonts w:ascii="Calibri" w:cs="Calibri" w:eastAsia="Calibri" w:hAnsi="Calibri"/>
          <w:b/>
          <w:bCs/>
          <w:sz w:val="21"/>
          <w:szCs w:val="21"/>
        </w:rPr>
        <w:t xml:space="preserve">16.2 </w:t>
      </w:r>
      <w:r>
        <w:rPr>
          <w:rFonts w:ascii="Calibri" w:cs="Calibri" w:eastAsia="Calibri" w:hAnsi="Calibri"/>
          <w:sz w:val="21"/>
          <w:szCs w:val="21"/>
        </w:rPr>
        <w:t xml:space="preserve">Partner represents and warrants that: it holds every licence, registration, bond, and permit required for its activities under this Agreement in each jurisdiction where it markets; its marketing complies with Section 9 and applicable law; it has the consents required by Section 4.3; and it has not been, and no principal of it has been, subject to any regulatory action, injunction, or consent order relating to consumer finance, credit repair, lending, or advertising practices, except as disclosed in writing before the Effective Date.</w:t>
      </w:r>
    </w:p>
    <w:p>
      <w:pPr>
        <w:spacing w:after="140" w:line="276"/>
        <w:ind w:left="480" w:hanging="480"/>
      </w:pPr>
      <w:r>
        <w:rPr>
          <w:rFonts w:ascii="Calibri" w:cs="Calibri" w:eastAsia="Calibri" w:hAnsi="Calibri"/>
          <w:b/>
          <w:bCs/>
          <w:sz w:val="21"/>
          <w:szCs w:val="21"/>
        </w:rPr>
        <w:t xml:space="preserve">16.3 </w:t>
      </w:r>
      <w:r>
        <w:rPr>
          <w:rFonts w:ascii="Calibri" w:cs="Calibri" w:eastAsia="Calibri" w:hAnsi="Calibri"/>
          <w:sz w:val="21"/>
          <w:szCs w:val="21"/>
        </w:rPr>
        <w:t xml:space="preserve">Fundhub represents and warrants that it will perform the Services as described in Section 7.1 and that it holds the licences and registrations required for its own performance.</w:t>
      </w:r>
    </w:p>
    <w:p>
      <w:pPr>
        <w:spacing w:after="140" w:line="276"/>
        <w:ind w:left="480" w:hanging="480"/>
      </w:pPr>
      <w:r>
        <w:rPr>
          <w:rFonts w:ascii="Calibri" w:cs="Calibri" w:eastAsia="Calibri" w:hAnsi="Calibri"/>
          <w:b/>
          <w:bCs/>
          <w:sz w:val="21"/>
          <w:szCs w:val="21"/>
        </w:rPr>
        <w:t xml:space="preserve">16.4 </w:t>
      </w:r>
      <w:r>
        <w:rPr>
          <w:rFonts w:ascii="Calibri" w:cs="Calibri" w:eastAsia="Calibri" w:hAnsi="Calibri"/>
          <w:sz w:val="21"/>
          <w:szCs w:val="21"/>
        </w:rPr>
        <w:t xml:space="preserve">Except as expressly stated, each Party disclaims all other warranties, express or implied, including merchantability, fitness for a particular purpose, and non-infringement. Fundhub does not warrant any volume of sales, conversion rate, revenue, or client outcome.</w:t>
      </w:r>
    </w:p>
    <w:p>
      <w:pPr>
        <w:pStyle w:val="Heading1"/>
        <w:spacing w:after="140" w:before="320"/>
      </w:pPr>
      <w:r>
        <w:rPr>
          <w:rFonts w:ascii="Calibri" w:cs="Calibri" w:eastAsia="Calibri" w:hAnsi="Calibri"/>
          <w:b/>
          <w:bCs/>
          <w:color w:val="1A1A1A"/>
          <w:sz w:val="24"/>
          <w:szCs w:val="24"/>
        </w:rPr>
        <w:t xml:space="preserve">17. Indemnification</w:t>
      </w:r>
    </w:p>
    <w:p>
      <w:pPr>
        <w:spacing w:after="140" w:line="276"/>
        <w:ind w:left="480" w:hanging="480"/>
      </w:pPr>
      <w:r>
        <w:rPr>
          <w:rFonts w:ascii="Calibri" w:cs="Calibri" w:eastAsia="Calibri" w:hAnsi="Calibri"/>
          <w:b/>
          <w:bCs/>
          <w:sz w:val="21"/>
          <w:szCs w:val="21"/>
        </w:rPr>
        <w:t xml:space="preserve">17.1 </w:t>
      </w:r>
      <w:r>
        <w:rPr>
          <w:rFonts w:ascii="Calibri" w:cs="Calibri" w:eastAsia="Calibri" w:hAnsi="Calibri"/>
          <w:sz w:val="21"/>
          <w:szCs w:val="21"/>
        </w:rPr>
        <w:t xml:space="preserve">Partner will defend, indemnify, and hold harmless Fundhub and its members, managers, employees, and contractors from any third-party claim, regulatory action, penalty, loss, liability, and reasonable legal fee arising from: Partner’s marketing or statements about the Services; Partner’s breach of Section 4.3, Section 9, Section 11, or Section 16.2; Partner’s failure to hold a required licence, registration, or bond; or Partner’s negligence or wilful misconduct.</w:t>
      </w:r>
    </w:p>
    <w:p>
      <w:pPr>
        <w:spacing w:after="140" w:line="276"/>
        <w:ind w:left="480" w:hanging="480"/>
      </w:pPr>
      <w:r>
        <w:rPr>
          <w:rFonts w:ascii="Calibri" w:cs="Calibri" w:eastAsia="Calibri" w:hAnsi="Calibri"/>
          <w:b/>
          <w:bCs/>
          <w:sz w:val="21"/>
          <w:szCs w:val="21"/>
        </w:rPr>
        <w:t xml:space="preserve">17.2 </w:t>
      </w:r>
      <w:r>
        <w:rPr>
          <w:rFonts w:ascii="Calibri" w:cs="Calibri" w:eastAsia="Calibri" w:hAnsi="Calibri"/>
          <w:sz w:val="21"/>
          <w:szCs w:val="21"/>
        </w:rPr>
        <w:t xml:space="preserve">Fundhub will defend, indemnify, and hold harmless Partner and its officers, employees, and contractors from any third-party claim, loss, liability, and reasonable legal fee arising from Fundhub’s performance of the Services, Fundhub’s breach of this Agreement, or a claim that the Fundhub Marks or Services as provided by Fundhub infringe a third party’s intellectual property rights.</w:t>
      </w:r>
    </w:p>
    <w:p>
      <w:pPr>
        <w:spacing w:after="140" w:line="276"/>
        <w:ind w:left="480" w:hanging="480"/>
      </w:pPr>
      <w:r>
        <w:rPr>
          <w:rFonts w:ascii="Calibri" w:cs="Calibri" w:eastAsia="Calibri" w:hAnsi="Calibri"/>
          <w:b/>
          <w:bCs/>
          <w:sz w:val="21"/>
          <w:szCs w:val="21"/>
        </w:rPr>
        <w:t xml:space="preserve">17.3 </w:t>
      </w:r>
      <w:r>
        <w:rPr>
          <w:rFonts w:ascii="Calibri" w:cs="Calibri" w:eastAsia="Calibri" w:hAnsi="Calibri"/>
          <w:sz w:val="21"/>
          <w:szCs w:val="21"/>
        </w:rPr>
        <w:t xml:space="preserve">The indemnified Party will give prompt written notice, allow the indemnifying Party to control the defence with counsel of its choosing, and cooperate reasonably. No settlement that imposes a non-monetary obligation or admission on the indemnified Party may be made without its written consent, not to be unreasonably withheld.</w:t>
      </w:r>
    </w:p>
    <w:p>
      <w:pPr>
        <w:pStyle w:val="Heading1"/>
        <w:spacing w:after="140" w:before="320"/>
      </w:pPr>
      <w:r>
        <w:rPr>
          <w:rFonts w:ascii="Calibri" w:cs="Calibri" w:eastAsia="Calibri" w:hAnsi="Calibri"/>
          <w:b/>
          <w:bCs/>
          <w:color w:val="1A1A1A"/>
          <w:sz w:val="24"/>
          <w:szCs w:val="24"/>
        </w:rPr>
        <w:t xml:space="preserve">18. Limitation of Liability</w:t>
      </w:r>
    </w:p>
    <w:p>
      <w:pPr>
        <w:spacing w:after="140" w:line="276"/>
        <w:ind w:left="480" w:hanging="480"/>
      </w:pPr>
      <w:r>
        <w:rPr>
          <w:rFonts w:ascii="Calibri" w:cs="Calibri" w:eastAsia="Calibri" w:hAnsi="Calibri"/>
          <w:b/>
          <w:bCs/>
          <w:sz w:val="21"/>
          <w:szCs w:val="21"/>
        </w:rPr>
        <w:t xml:space="preserve">18.1 </w:t>
      </w:r>
      <w:r>
        <w:rPr>
          <w:rFonts w:ascii="Calibri" w:cs="Calibri" w:eastAsia="Calibri" w:hAnsi="Calibri"/>
          <w:sz w:val="21"/>
          <w:szCs w:val="21"/>
        </w:rPr>
        <w:t xml:space="preserve">Neither Party is liable for indirect, incidental, consequential, special, exemplary, or punitive damages, or for lost profits, lost revenue, lost data, or loss of goodwill, however caused and on any theory of liability, even if advised of the possibility.</w:t>
      </w:r>
    </w:p>
    <w:p>
      <w:pPr>
        <w:spacing w:after="140" w:line="276"/>
        <w:ind w:left="480" w:hanging="480"/>
      </w:pPr>
      <w:r>
        <w:rPr>
          <w:rFonts w:ascii="Calibri" w:cs="Calibri" w:eastAsia="Calibri" w:hAnsi="Calibri"/>
          <w:b/>
          <w:bCs/>
          <w:sz w:val="21"/>
          <w:szCs w:val="21"/>
        </w:rPr>
        <w:t xml:space="preserve">18.2 </w:t>
      </w:r>
      <w:r>
        <w:rPr>
          <w:rFonts w:ascii="Calibri" w:cs="Calibri" w:eastAsia="Calibri" w:hAnsi="Calibri"/>
          <w:sz w:val="21"/>
          <w:szCs w:val="21"/>
        </w:rPr>
        <w:t xml:space="preserve">Except for the excluded claims in Section 18.3, each Party’s total aggregate liability arising out of or relating to this Agreement will not exceed the total amounts paid or payable between the Parties under this Agreement in the twelve (12) months immediately preceding the event giving rise to the claim.</w:t>
      </w:r>
    </w:p>
    <w:p>
      <w:pPr>
        <w:spacing w:after="140" w:line="276"/>
        <w:ind w:left="480" w:hanging="480"/>
      </w:pPr>
      <w:r>
        <w:rPr>
          <w:rFonts w:ascii="Calibri" w:cs="Calibri" w:eastAsia="Calibri" w:hAnsi="Calibri"/>
          <w:b/>
          <w:bCs/>
          <w:sz w:val="21"/>
          <w:szCs w:val="21"/>
        </w:rPr>
        <w:t xml:space="preserve">18.3 </w:t>
      </w:r>
      <w:r>
        <w:rPr>
          <w:rFonts w:ascii="Calibri" w:cs="Calibri" w:eastAsia="Calibri" w:hAnsi="Calibri"/>
          <w:sz w:val="21"/>
          <w:szCs w:val="21"/>
        </w:rPr>
        <w:t xml:space="preserve">Sections 18.1 and 18.2 do not apply to a Party’s indemnification obligations under Section 17, breach of Section 11 or Section 13, infringement or misuse of the other Party’s Marks or intellectual property, amounts owed under Section 5 or Section 6, or a Party’s fraud, gross negligence, or wilful misconduct.</w:t>
      </w:r>
    </w:p>
    <w:p>
      <w:pPr>
        <w:pStyle w:val="Heading1"/>
        <w:spacing w:after="140" w:before="320"/>
      </w:pPr>
      <w:r>
        <w:rPr>
          <w:rFonts w:ascii="Calibri" w:cs="Calibri" w:eastAsia="Calibri" w:hAnsi="Calibri"/>
          <w:b/>
          <w:bCs/>
          <w:color w:val="1A1A1A"/>
          <w:sz w:val="24"/>
          <w:szCs w:val="24"/>
        </w:rPr>
        <w:t xml:space="preserve">19. Relationship of the Parties</w:t>
      </w:r>
    </w:p>
    <w:p>
      <w:pPr>
        <w:spacing w:after="140" w:line="276"/>
        <w:ind w:left="480" w:hanging="480"/>
      </w:pPr>
      <w:r>
        <w:rPr>
          <w:rFonts w:ascii="Calibri" w:cs="Calibri" w:eastAsia="Calibri" w:hAnsi="Calibri"/>
          <w:b/>
          <w:bCs/>
          <w:sz w:val="21"/>
          <w:szCs w:val="21"/>
        </w:rPr>
        <w:t xml:space="preserve">19.1 </w:t>
      </w:r>
      <w:r>
        <w:rPr>
          <w:rFonts w:ascii="Calibri" w:cs="Calibri" w:eastAsia="Calibri" w:hAnsi="Calibri"/>
          <w:sz w:val="21"/>
          <w:szCs w:val="21"/>
        </w:rPr>
        <w:t xml:space="preserve">The Parties are independent contractors. Nothing creates a partnership, joint venture, franchise, agency, employment, or fiduciary relationship.</w:t>
      </w:r>
    </w:p>
    <w:p>
      <w:pPr>
        <w:spacing w:after="140" w:line="276"/>
        <w:ind w:left="480" w:hanging="480"/>
      </w:pPr>
      <w:r>
        <w:rPr>
          <w:rFonts w:ascii="Calibri" w:cs="Calibri" w:eastAsia="Calibri" w:hAnsi="Calibri"/>
          <w:b/>
          <w:bCs/>
          <w:sz w:val="21"/>
          <w:szCs w:val="21"/>
        </w:rPr>
        <w:t xml:space="preserve">19.2 </w:t>
      </w:r>
      <w:r>
        <w:rPr>
          <w:rFonts w:ascii="Calibri" w:cs="Calibri" w:eastAsia="Calibri" w:hAnsi="Calibri"/>
          <w:sz w:val="21"/>
          <w:szCs w:val="21"/>
        </w:rPr>
        <w:t xml:space="preserve">Neither Party may bind the other, incur any obligation on the other’s behalf, or hold itself out as having authority to do so.</w:t>
      </w:r>
    </w:p>
    <w:p>
      <w:pPr>
        <w:spacing w:after="140" w:line="276"/>
        <w:ind w:left="480" w:hanging="480"/>
      </w:pPr>
      <w:r>
        <w:rPr>
          <w:rFonts w:ascii="Calibri" w:cs="Calibri" w:eastAsia="Calibri" w:hAnsi="Calibri"/>
          <w:b/>
          <w:bCs/>
          <w:sz w:val="21"/>
          <w:szCs w:val="21"/>
        </w:rPr>
        <w:t xml:space="preserve">19.3 </w:t>
      </w:r>
      <w:r>
        <w:rPr>
          <w:rFonts w:ascii="Calibri" w:cs="Calibri" w:eastAsia="Calibri" w:hAnsi="Calibri"/>
          <w:sz w:val="21"/>
          <w:szCs w:val="21"/>
        </w:rPr>
        <w:t xml:space="preserve">Each Party is solely responsible for its own personnel, contractors, taxes, insurance, and expenses.</w:t>
      </w:r>
    </w:p>
    <w:p>
      <w:pPr>
        <w:pStyle w:val="Heading1"/>
        <w:spacing w:after="140" w:before="320"/>
      </w:pPr>
      <w:r>
        <w:rPr>
          <w:rFonts w:ascii="Calibri" w:cs="Calibri" w:eastAsia="Calibri" w:hAnsi="Calibri"/>
          <w:b/>
          <w:bCs/>
          <w:color w:val="1A1A1A"/>
          <w:sz w:val="24"/>
          <w:szCs w:val="24"/>
        </w:rPr>
        <w:t xml:space="preserve">20. Governing Law and Disputes</w:t>
      </w:r>
    </w:p>
    <w:p>
      <w:pPr>
        <w:spacing w:after="140" w:line="276"/>
        <w:ind w:left="480" w:hanging="480"/>
      </w:pPr>
      <w:r>
        <w:rPr>
          <w:rFonts w:ascii="Calibri" w:cs="Calibri" w:eastAsia="Calibri" w:hAnsi="Calibri"/>
          <w:b/>
          <w:bCs/>
          <w:sz w:val="21"/>
          <w:szCs w:val="21"/>
        </w:rPr>
        <w:t xml:space="preserve">20.1 </w:t>
      </w:r>
      <w:r>
        <w:rPr>
          <w:rFonts w:ascii="Calibri" w:cs="Calibri" w:eastAsia="Calibri" w:hAnsi="Calibri"/>
          <w:sz w:val="21"/>
          <w:szCs w:val="21"/>
        </w:rPr>
        <w:t xml:space="preserve">This Agreement is governed by the laws of the State of Florida, without regard to its conflict of laws rules.</w:t>
      </w:r>
    </w:p>
    <w:p>
      <w:pPr>
        <w:spacing w:after="140" w:line="276"/>
        <w:ind w:left="480" w:hanging="480"/>
      </w:pPr>
      <w:r>
        <w:rPr>
          <w:rFonts w:ascii="Calibri" w:cs="Calibri" w:eastAsia="Calibri" w:hAnsi="Calibri"/>
          <w:b/>
          <w:bCs/>
          <w:sz w:val="21"/>
          <w:szCs w:val="21"/>
        </w:rPr>
        <w:t xml:space="preserve">20.2 </w:t>
      </w:r>
      <w:r>
        <w:rPr>
          <w:rFonts w:ascii="Calibri" w:cs="Calibri" w:eastAsia="Calibri" w:hAnsi="Calibri"/>
          <w:sz w:val="21"/>
          <w:szCs w:val="21"/>
        </w:rPr>
        <w:t xml:space="preserve">The Parties will first attempt to resolve any dispute through good-faith discussions between senior representatives for thirty (30) days after written notice of the dispute.</w:t>
      </w:r>
    </w:p>
    <w:p>
      <w:pPr>
        <w:spacing w:after="140" w:line="276"/>
        <w:ind w:left="480" w:hanging="480"/>
      </w:pPr>
      <w:r>
        <w:rPr>
          <w:rFonts w:ascii="Calibri" w:cs="Calibri" w:eastAsia="Calibri" w:hAnsi="Calibri"/>
          <w:b/>
          <w:bCs/>
          <w:sz w:val="21"/>
          <w:szCs w:val="21"/>
        </w:rPr>
        <w:t xml:space="preserve">20.3 </w:t>
      </w:r>
      <w:r>
        <w:rPr>
          <w:rFonts w:ascii="Calibri" w:cs="Calibri" w:eastAsia="Calibri" w:hAnsi="Calibri"/>
          <w:sz w:val="21"/>
          <w:szCs w:val="21"/>
        </w:rPr>
        <w:t xml:space="preserve">Any dispute not resolved under Section 20.2 will be resolved by binding arbitration before a single arbitrator administered by the American Arbitration Association under its Commercial Arbitration Rules, seated in Hardee County, Florida. Judgment on the award may be entered in any court of competent jurisdiction.</w:t>
      </w:r>
    </w:p>
    <w:p>
      <w:pPr>
        <w:spacing w:after="140" w:line="276"/>
        <w:ind w:left="480" w:hanging="480"/>
      </w:pPr>
      <w:r>
        <w:rPr>
          <w:rFonts w:ascii="Calibri" w:cs="Calibri" w:eastAsia="Calibri" w:hAnsi="Calibri"/>
          <w:b/>
          <w:bCs/>
          <w:sz w:val="21"/>
          <w:szCs w:val="21"/>
        </w:rPr>
        <w:t xml:space="preserve">20.4 </w:t>
      </w:r>
      <w:r>
        <w:rPr>
          <w:rFonts w:ascii="Calibri" w:cs="Calibri" w:eastAsia="Calibri" w:hAnsi="Calibri"/>
          <w:sz w:val="21"/>
          <w:szCs w:val="21"/>
        </w:rPr>
        <w:t xml:space="preserve">Either Party may seek temporary or preliminary injunctive relief in a court of competent jurisdiction to protect its Confidential Information or intellectual property without first complying with Sections 20.2 and 20.3.</w:t>
      </w:r>
    </w:p>
    <w:p>
      <w:pPr>
        <w:spacing w:after="140" w:line="276"/>
        <w:ind w:left="480" w:hanging="480"/>
      </w:pPr>
      <w:r>
        <w:rPr>
          <w:rFonts w:ascii="Calibri" w:cs="Calibri" w:eastAsia="Calibri" w:hAnsi="Calibri"/>
          <w:b/>
          <w:bCs/>
          <w:sz w:val="21"/>
          <w:szCs w:val="21"/>
        </w:rPr>
        <w:t xml:space="preserve">20.5 </w:t>
      </w:r>
      <w:r>
        <w:rPr>
          <w:rFonts w:ascii="Calibri" w:cs="Calibri" w:eastAsia="Calibri" w:hAnsi="Calibri"/>
          <w:sz w:val="21"/>
          <w:szCs w:val="21"/>
        </w:rPr>
        <w:t xml:space="preserve">Each Party waives any right to a jury trial and to participate in any class or representative proceeding relating to this Agreement.</w:t>
      </w:r>
    </w:p>
    <w:p>
      <w:pPr>
        <w:pStyle w:val="Heading1"/>
        <w:spacing w:after="140" w:before="320"/>
      </w:pPr>
      <w:r>
        <w:rPr>
          <w:rFonts w:ascii="Calibri" w:cs="Calibri" w:eastAsia="Calibri" w:hAnsi="Calibri"/>
          <w:b/>
          <w:bCs/>
          <w:color w:val="1A1A1A"/>
          <w:sz w:val="24"/>
          <w:szCs w:val="24"/>
        </w:rPr>
        <w:t xml:space="preserve">21. General</w:t>
      </w:r>
    </w:p>
    <w:p>
      <w:pPr>
        <w:spacing w:after="140" w:line="276"/>
        <w:ind w:left="480" w:hanging="480"/>
      </w:pPr>
      <w:r>
        <w:rPr>
          <w:rFonts w:ascii="Calibri" w:cs="Calibri" w:eastAsia="Calibri" w:hAnsi="Calibri"/>
          <w:b/>
          <w:bCs/>
          <w:sz w:val="21"/>
          <w:szCs w:val="21"/>
        </w:rPr>
        <w:t xml:space="preserve">21.1 </w:t>
      </w:r>
      <w:r>
        <w:rPr>
          <w:rFonts w:ascii="Calibri" w:cs="Calibri" w:eastAsia="Calibri" w:hAnsi="Calibri"/>
          <w:sz w:val="21"/>
          <w:szCs w:val="21"/>
        </w:rPr>
        <w:t xml:space="preserve">Entire agreement. This Agreement, with its Schedules, is the entire agreement between the Parties on this subject and supersedes all prior discussions, proposals, and representations.</w:t>
      </w:r>
    </w:p>
    <w:p>
      <w:pPr>
        <w:spacing w:after="140" w:line="276"/>
        <w:ind w:left="480" w:hanging="480"/>
      </w:pPr>
      <w:r>
        <w:rPr>
          <w:rFonts w:ascii="Calibri" w:cs="Calibri" w:eastAsia="Calibri" w:hAnsi="Calibri"/>
          <w:b/>
          <w:bCs/>
          <w:sz w:val="21"/>
          <w:szCs w:val="21"/>
        </w:rPr>
        <w:t xml:space="preserve">21.2 </w:t>
      </w:r>
      <w:r>
        <w:rPr>
          <w:rFonts w:ascii="Calibri" w:cs="Calibri" w:eastAsia="Calibri" w:hAnsi="Calibri"/>
          <w:sz w:val="21"/>
          <w:szCs w:val="21"/>
        </w:rPr>
        <w:t xml:space="preserve">Amendment. Any amendment must be in writing and signed by both Parties, except that Fundhub may update Schedule A under Section 1.1.</w:t>
      </w:r>
    </w:p>
    <w:p>
      <w:pPr>
        <w:spacing w:after="140" w:line="276"/>
        <w:ind w:left="480" w:hanging="480"/>
      </w:pPr>
      <w:r>
        <w:rPr>
          <w:rFonts w:ascii="Calibri" w:cs="Calibri" w:eastAsia="Calibri" w:hAnsi="Calibri"/>
          <w:b/>
          <w:bCs/>
          <w:sz w:val="21"/>
          <w:szCs w:val="21"/>
        </w:rPr>
        <w:t xml:space="preserve">21.3 </w:t>
      </w:r>
      <w:r>
        <w:rPr>
          <w:rFonts w:ascii="Calibri" w:cs="Calibri" w:eastAsia="Calibri" w:hAnsi="Calibri"/>
          <w:sz w:val="21"/>
          <w:szCs w:val="21"/>
        </w:rPr>
        <w:t xml:space="preserve">Assignment. Neither Party may assign this Agreement without the other’s prior written consent, except to a successor in a merger or sale of substantially all assets, on written notice.</w:t>
      </w:r>
    </w:p>
    <w:p>
      <w:pPr>
        <w:spacing w:after="140" w:line="276"/>
        <w:ind w:left="480" w:hanging="480"/>
      </w:pPr>
      <w:r>
        <w:rPr>
          <w:rFonts w:ascii="Calibri" w:cs="Calibri" w:eastAsia="Calibri" w:hAnsi="Calibri"/>
          <w:b/>
          <w:bCs/>
          <w:sz w:val="21"/>
          <w:szCs w:val="21"/>
        </w:rPr>
        <w:t xml:space="preserve">21.4 </w:t>
      </w:r>
      <w:r>
        <w:rPr>
          <w:rFonts w:ascii="Calibri" w:cs="Calibri" w:eastAsia="Calibri" w:hAnsi="Calibri"/>
          <w:sz w:val="21"/>
          <w:szCs w:val="21"/>
        </w:rPr>
        <w:t xml:space="preserve">Notices. Notices must be in writing and delivered by email with confirmation of receipt, or by nationally recognised overnight courier, to the addresses on the signature page. Notice is effective on receipt.</w:t>
      </w:r>
    </w:p>
    <w:p>
      <w:pPr>
        <w:spacing w:after="140" w:line="276"/>
        <w:ind w:left="480" w:hanging="480"/>
      </w:pPr>
      <w:r>
        <w:rPr>
          <w:rFonts w:ascii="Calibri" w:cs="Calibri" w:eastAsia="Calibri" w:hAnsi="Calibri"/>
          <w:b/>
          <w:bCs/>
          <w:sz w:val="21"/>
          <w:szCs w:val="21"/>
        </w:rPr>
        <w:t xml:space="preserve">21.5 </w:t>
      </w:r>
      <w:r>
        <w:rPr>
          <w:rFonts w:ascii="Calibri" w:cs="Calibri" w:eastAsia="Calibri" w:hAnsi="Calibri"/>
          <w:sz w:val="21"/>
          <w:szCs w:val="21"/>
        </w:rPr>
        <w:t xml:space="preserve">Severability. If any provision is held unenforceable, it is modified to the minimum extent necessary to be enforceable, or severed if it cannot be, and the rest remains in effect.</w:t>
      </w:r>
    </w:p>
    <w:p>
      <w:pPr>
        <w:spacing w:after="140" w:line="276"/>
        <w:ind w:left="480" w:hanging="480"/>
      </w:pPr>
      <w:r>
        <w:rPr>
          <w:rFonts w:ascii="Calibri" w:cs="Calibri" w:eastAsia="Calibri" w:hAnsi="Calibri"/>
          <w:b/>
          <w:bCs/>
          <w:sz w:val="21"/>
          <w:szCs w:val="21"/>
        </w:rPr>
        <w:t xml:space="preserve">21.6 </w:t>
      </w:r>
      <w:r>
        <w:rPr>
          <w:rFonts w:ascii="Calibri" w:cs="Calibri" w:eastAsia="Calibri" w:hAnsi="Calibri"/>
          <w:sz w:val="21"/>
          <w:szCs w:val="21"/>
        </w:rPr>
        <w:t xml:space="preserve">Waiver. No failure or delay in exercising a right waives it, and no single or partial exercise precludes any further exercise.</w:t>
      </w:r>
    </w:p>
    <w:p>
      <w:pPr>
        <w:spacing w:after="140" w:line="276"/>
        <w:ind w:left="480" w:hanging="480"/>
      </w:pPr>
      <w:r>
        <w:rPr>
          <w:rFonts w:ascii="Calibri" w:cs="Calibri" w:eastAsia="Calibri" w:hAnsi="Calibri"/>
          <w:b/>
          <w:bCs/>
          <w:sz w:val="21"/>
          <w:szCs w:val="21"/>
        </w:rPr>
        <w:t xml:space="preserve">21.7 </w:t>
      </w:r>
      <w:r>
        <w:rPr>
          <w:rFonts w:ascii="Calibri" w:cs="Calibri" w:eastAsia="Calibri" w:hAnsi="Calibri"/>
          <w:sz w:val="21"/>
          <w:szCs w:val="21"/>
        </w:rPr>
        <w:t xml:space="preserve">Force majeure. Neither Party is liable for a delay or failure caused by an event beyond its reasonable control, excluding payment obligations.</w:t>
      </w:r>
    </w:p>
    <w:p>
      <w:pPr>
        <w:spacing w:after="140" w:line="276"/>
        <w:ind w:left="480" w:hanging="480"/>
      </w:pPr>
      <w:r>
        <w:rPr>
          <w:rFonts w:ascii="Calibri" w:cs="Calibri" w:eastAsia="Calibri" w:hAnsi="Calibri"/>
          <w:b/>
          <w:bCs/>
          <w:sz w:val="21"/>
          <w:szCs w:val="21"/>
        </w:rPr>
        <w:t xml:space="preserve">21.8 </w:t>
      </w:r>
      <w:r>
        <w:rPr>
          <w:rFonts w:ascii="Calibri" w:cs="Calibri" w:eastAsia="Calibri" w:hAnsi="Calibri"/>
          <w:sz w:val="21"/>
          <w:szCs w:val="21"/>
        </w:rPr>
        <w:t xml:space="preserve">Survival. Sections 5.4, 6, 11, 12.4, 13, 15, 16, 17, 18, 19, 20, and 21 survive termination.</w:t>
      </w:r>
    </w:p>
    <w:p>
      <w:pPr>
        <w:spacing w:after="140" w:line="276"/>
        <w:ind w:left="480" w:hanging="480"/>
      </w:pPr>
      <w:r>
        <w:rPr>
          <w:rFonts w:ascii="Calibri" w:cs="Calibri" w:eastAsia="Calibri" w:hAnsi="Calibri"/>
          <w:b/>
          <w:bCs/>
          <w:sz w:val="21"/>
          <w:szCs w:val="21"/>
        </w:rPr>
        <w:t xml:space="preserve">21.9 </w:t>
      </w:r>
      <w:r>
        <w:rPr>
          <w:rFonts w:ascii="Calibri" w:cs="Calibri" w:eastAsia="Calibri" w:hAnsi="Calibri"/>
          <w:sz w:val="21"/>
          <w:szCs w:val="21"/>
        </w:rPr>
        <w:t xml:space="preserve">Counterparts. This Agreement may be signed in counterparts and by electronic signature, each of which is an original and together one instrument.</w:t>
      </w:r>
    </w:p>
    <w:p>
      <w:pPr>
        <w:spacing w:after="200" w:before="380"/>
      </w:pPr>
      <w:r>
        <w:rPr>
          <w:rFonts w:ascii="Calibri" w:cs="Calibri" w:eastAsia="Calibri" w:hAnsi="Calibri"/>
          <w:b/>
          <w:bCs/>
          <w:sz w:val="21"/>
          <w:szCs w:val="21"/>
        </w:rPr>
        <w:t xml:space="preserve">IN WITNESS WHEREOF, the Parties have executed this Agreement as of the Effective Date.</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120"/>
              <w:left w:type="dxa" w:w="120"/>
              <w:bottom w:type="dxa" w:w="200"/>
              <w:right w:type="dxa" w:w="240"/>
            </w:tcMar>
          </w:tcPr>
          <w:p>
            <w:pPr>
              <w:spacing w:after="200"/>
            </w:pPr>
            <w:r>
              <w:rPr>
                <w:rFonts w:ascii="Calibri" w:cs="Calibri" w:eastAsia="Calibri" w:hAnsi="Calibri"/>
                <w:b/>
                <w:bCs/>
                <w:sz w:val="21"/>
                <w:szCs w:val="21"/>
              </w:rPr>
              <w:t xml:space="preserve">FUNDHUB LLC</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Signature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Print name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Title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Date</w:t>
            </w:r>
          </w:p>
        </w:tc>
        <w:tc>
          <w:tcPr>
            <w:tcW w:type="dxa" w:w="4680"/>
            <w:tcMar>
              <w:top w:type="dxa" w:w="120"/>
              <w:left w:type="dxa" w:w="120"/>
              <w:bottom w:type="dxa" w:w="200"/>
              <w:right w:type="dxa" w:w="240"/>
            </w:tcMar>
          </w:tcPr>
          <w:p>
            <w:pPr>
              <w:spacing w:after="200"/>
            </w:pPr>
            <w:r>
              <w:rPr>
                <w:rFonts w:ascii="Calibri" w:cs="Calibri" w:eastAsia="Calibri" w:hAnsi="Calibri"/>
                <w:b/>
                <w:bCs/>
                <w:sz w:val="21"/>
                <w:szCs w:val="21"/>
              </w:rPr>
              <w:t xml:space="preserve">PARTNER</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Signature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Print name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Title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Date</w:t>
            </w:r>
          </w:p>
        </w:tc>
      </w:tr>
    </w:tbl>
    <w:p>
      <w:pPr>
        <w:spacing w:before="260"/>
      </w:pPr>
      <w:r>
        <w:rPr>
          <w:rFonts w:ascii="Calibri" w:cs="Calibri" w:eastAsia="Calibri" w:hAnsi="Calibri"/>
          <w:color w:val="595959"/>
          <w:sz w:val="18"/>
          <w:szCs w:val="18"/>
        </w:rPr>
        <w:t xml:space="preserve">Notice addresses — Fundhub: 218 Bostick Rd 64, Bowling Green, FL 33834 | support@tryfundhub.com</w:t>
      </w:r>
    </w:p>
    <w:p>
      <w:pPr>
        <w:spacing w:after="200"/>
      </w:pPr>
      <w:r>
        <w:rPr>
          <w:rFonts w:ascii="Calibri" w:cs="Calibri" w:eastAsia="Calibri" w:hAnsi="Calibri"/>
          <w:color w:val="595959"/>
          <w:sz w:val="18"/>
          <w:szCs w:val="18"/>
        </w:rPr>
        <w:t xml:space="preserve">Notice addresses — Partner: [PARTNER ADDRESS] | [PARTNER EMAIL]</w:t>
      </w:r>
    </w:p>
    <w:p>
      <w:r>
        <w:br w:type="page"/>
      </w:r>
    </w:p>
    <w:p>
      <w:pPr>
        <w:spacing w:after="60"/>
      </w:pPr>
      <w:r>
        <w:rPr>
          <w:rFonts w:ascii="Calibri" w:cs="Calibri" w:eastAsia="Calibri" w:hAnsi="Calibri"/>
          <w:b/>
          <w:bCs/>
          <w:sz w:val="28"/>
          <w:szCs w:val="28"/>
        </w:rPr>
        <w:t xml:space="preserve">SCHEDULE A</w:t>
      </w:r>
    </w:p>
    <w:p>
      <w:pPr>
        <w:spacing w:after="200"/>
      </w:pPr>
      <w:r>
        <w:rPr>
          <w:rFonts w:ascii="Calibri" w:cs="Calibri" w:eastAsia="Calibri" w:hAnsi="Calibri"/>
          <w:color w:val="595959"/>
          <w:sz w:val="22"/>
          <w:szCs w:val="22"/>
        </w:rPr>
        <w:t xml:space="preserve">Services, Pricing, and Brand Election</w:t>
      </w:r>
    </w:p>
    <w:p>
      <w:pPr>
        <w:pBdr>
          <w:bottom w:val="single" w:color="BFBFBF" w:sz="6" w:space="6"/>
        </w:pBdr>
        <w:spacing w:after="220" w:before="120"/>
      </w:pPr>
      <w:r>
        <w:rPr>
          <w:rFonts w:ascii="Calibri" w:cs="Calibri" w:eastAsia="Calibri" w:hAnsi="Calibri"/>
          <w:sz w:val="2"/>
          <w:szCs w:val="2"/>
        </w:rPr>
        <w:t xml:space="preserve"/>
      </w:r>
    </w:p>
    <w:p>
      <w:pPr>
        <w:spacing w:after="160" w:line="276"/>
      </w:pPr>
      <w:r>
        <w:rPr>
          <w:rFonts w:ascii="Calibri" w:cs="Calibri" w:eastAsia="Calibri" w:hAnsi="Calibri"/>
          <w:b/>
          <w:bCs/>
          <w:sz w:val="21"/>
          <w:szCs w:val="21"/>
        </w:rPr>
        <w:t xml:space="preserve">A1. Services and client pricing as of the Effective Date. Fundhub may update this table under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shd w:fill="F2F2F2" w:color="auto" w:val="clear"/>
            <w:tcMar>
              <w:top w:type="dxa" w:w="90"/>
              <w:left w:type="dxa" w:w="130"/>
              <w:bottom w:type="dxa" w:w="90"/>
              <w:right w:type="dxa" w:w="130"/>
            </w:tcMar>
          </w:tcPr>
          <w:p>
            <w:r>
              <w:rPr>
                <w:rFonts w:ascii="Calibri" w:cs="Calibri" w:eastAsia="Calibri" w:hAnsi="Calibri"/>
                <w:b/>
                <w:bCs/>
                <w:sz w:val="19"/>
                <w:szCs w:val="19"/>
              </w:rPr>
              <w:t xml:space="preserve">Service</w:t>
            </w:r>
          </w:p>
        </w:tc>
        <w:tc>
          <w:tcPr>
            <w:tcW w:type="dxa" w:w="2400"/>
            <w:shd w:fill="F2F2F2" w:color="auto" w:val="clear"/>
            <w:tcMar>
              <w:top w:type="dxa" w:w="90"/>
              <w:left w:type="dxa" w:w="130"/>
              <w:bottom w:type="dxa" w:w="90"/>
              <w:right w:type="dxa" w:w="130"/>
            </w:tcMar>
          </w:tcPr>
          <w:p>
            <w:r>
              <w:rPr>
                <w:rFonts w:ascii="Calibri" w:cs="Calibri" w:eastAsia="Calibri" w:hAnsi="Calibri"/>
                <w:b/>
                <w:bCs/>
                <w:sz w:val="19"/>
                <w:szCs w:val="19"/>
              </w:rPr>
              <w:t xml:space="preserve">Client pays</w:t>
            </w:r>
          </w:p>
        </w:tc>
        <w:tc>
          <w:tcPr>
            <w:tcW w:type="dxa" w:w="3560"/>
            <w:shd w:fill="F2F2F2" w:color="auto" w:val="clear"/>
            <w:tcMar>
              <w:top w:type="dxa" w:w="90"/>
              <w:left w:type="dxa" w:w="130"/>
              <w:bottom w:type="dxa" w:w="90"/>
              <w:right w:type="dxa" w:w="130"/>
            </w:tcMar>
          </w:tcPr>
          <w:p>
            <w:r>
              <w:rPr>
                <w:rFonts w:ascii="Calibri" w:cs="Calibri" w:eastAsia="Calibri" w:hAnsi="Calibri"/>
                <w:b/>
                <w:bCs/>
                <w:sz w:val="19"/>
                <w:szCs w:val="19"/>
              </w:rPr>
              <w:t xml:space="preserve">Category</w:t>
            </w:r>
          </w:p>
        </w:tc>
      </w:tr>
      <w:tr>
        <w:tc>
          <w:tcPr>
            <w:tcW w:type="dxa" w:w="3400"/>
            <w:tcMar>
              <w:top w:type="dxa" w:w="90"/>
              <w:left w:type="dxa" w:w="130"/>
              <w:bottom w:type="dxa" w:w="90"/>
              <w:right w:type="dxa" w:w="130"/>
            </w:tcMar>
          </w:tcPr>
          <w:p>
            <w:r>
              <w:rPr>
                <w:rFonts w:ascii="Calibri" w:cs="Calibri" w:eastAsia="Calibri" w:hAnsi="Calibri"/>
                <w:sz w:val="19"/>
                <w:szCs w:val="19"/>
              </w:rPr>
              <w:t xml:space="preserve">Soft pull / file read</w:t>
            </w:r>
          </w:p>
        </w:tc>
        <w:tc>
          <w:tcPr>
            <w:tcW w:type="dxa" w:w="2400"/>
            <w:tcMar>
              <w:top w:type="dxa" w:w="90"/>
              <w:left w:type="dxa" w:w="130"/>
              <w:bottom w:type="dxa" w:w="90"/>
              <w:right w:type="dxa" w:w="130"/>
            </w:tcMar>
          </w:tcPr>
          <w:p>
            <w:r>
              <w:rPr>
                <w:rFonts w:ascii="Calibri" w:cs="Calibri" w:eastAsia="Calibri" w:hAnsi="Calibri"/>
                <w:sz w:val="19"/>
                <w:szCs w:val="19"/>
              </w:rPr>
              <w:t xml:space="preserve">$32</w:t>
            </w:r>
          </w:p>
        </w:tc>
        <w:tc>
          <w:tcPr>
            <w:tcW w:type="dxa" w:w="3560"/>
            <w:tcMar>
              <w:top w:type="dxa" w:w="90"/>
              <w:left w:type="dxa" w:w="130"/>
              <w:bottom w:type="dxa" w:w="90"/>
              <w:right w:type="dxa" w:w="130"/>
            </w:tcMar>
          </w:tcPr>
          <w:p>
            <w:r>
              <w:rPr>
                <w:rFonts w:ascii="Calibri" w:cs="Calibri" w:eastAsia="Calibri" w:hAnsi="Calibri"/>
                <w:sz w:val="19"/>
                <w:szCs w:val="19"/>
              </w:rPr>
              <w:t xml:space="preserve">Assessment</w:t>
            </w:r>
          </w:p>
        </w:tc>
      </w:tr>
      <w:tr>
        <w:tc>
          <w:tcPr>
            <w:tcW w:type="dxa" w:w="3400"/>
            <w:tcMar>
              <w:top w:type="dxa" w:w="90"/>
              <w:left w:type="dxa" w:w="130"/>
              <w:bottom w:type="dxa" w:w="90"/>
              <w:right w:type="dxa" w:w="130"/>
            </w:tcMar>
          </w:tcPr>
          <w:p>
            <w:r>
              <w:rPr>
                <w:rFonts w:ascii="Calibri" w:cs="Calibri" w:eastAsia="Calibri" w:hAnsi="Calibri"/>
                <w:sz w:val="19"/>
                <w:szCs w:val="19"/>
              </w:rPr>
              <w:t xml:space="preserve">Capital Academy</w:t>
            </w:r>
          </w:p>
        </w:tc>
        <w:tc>
          <w:tcPr>
            <w:tcW w:type="dxa" w:w="2400"/>
            <w:tcMar>
              <w:top w:type="dxa" w:w="90"/>
              <w:left w:type="dxa" w:w="130"/>
              <w:bottom w:type="dxa" w:w="90"/>
              <w:right w:type="dxa" w:w="130"/>
            </w:tcMar>
          </w:tcPr>
          <w:p>
            <w:r>
              <w:rPr>
                <w:rFonts w:ascii="Calibri" w:cs="Calibri" w:eastAsia="Calibri" w:hAnsi="Calibri"/>
                <w:sz w:val="19"/>
                <w:szCs w:val="19"/>
              </w:rPr>
              <w:t xml:space="preserve">$5,000</w:t>
            </w:r>
          </w:p>
        </w:tc>
        <w:tc>
          <w:tcPr>
            <w:tcW w:type="dxa" w:w="3560"/>
            <w:tcMar>
              <w:top w:type="dxa" w:w="90"/>
              <w:left w:type="dxa" w:w="130"/>
              <w:bottom w:type="dxa" w:w="90"/>
              <w:right w:type="dxa" w:w="130"/>
            </w:tcMar>
          </w:tcPr>
          <w:p>
            <w:r>
              <w:rPr>
                <w:rFonts w:ascii="Calibri" w:cs="Calibri" w:eastAsia="Calibri" w:hAnsi="Calibri"/>
                <w:sz w:val="19"/>
                <w:szCs w:val="19"/>
              </w:rPr>
              <w:t xml:space="preserve">Education — client-performed</w:t>
            </w:r>
          </w:p>
        </w:tc>
      </w:tr>
      <w:tr>
        <w:tc>
          <w:tcPr>
            <w:tcW w:type="dxa" w:w="3400"/>
            <w:tcMar>
              <w:top w:type="dxa" w:w="90"/>
              <w:left w:type="dxa" w:w="130"/>
              <w:bottom w:type="dxa" w:w="90"/>
              <w:right w:type="dxa" w:w="130"/>
            </w:tcMar>
          </w:tcPr>
          <w:p>
            <w:r>
              <w:rPr>
                <w:rFonts w:ascii="Calibri" w:cs="Calibri" w:eastAsia="Calibri" w:hAnsi="Calibri"/>
                <w:sz w:val="19"/>
                <w:szCs w:val="19"/>
              </w:rPr>
              <w:t xml:space="preserve">Capital Blueprint</w:t>
            </w:r>
          </w:p>
        </w:tc>
        <w:tc>
          <w:tcPr>
            <w:tcW w:type="dxa" w:w="2400"/>
            <w:tcMar>
              <w:top w:type="dxa" w:w="90"/>
              <w:left w:type="dxa" w:w="130"/>
              <w:bottom w:type="dxa" w:w="90"/>
              <w:right w:type="dxa" w:w="130"/>
            </w:tcMar>
          </w:tcPr>
          <w:p>
            <w:r>
              <w:rPr>
                <w:rFonts w:ascii="Calibri" w:cs="Calibri" w:eastAsia="Calibri" w:hAnsi="Calibri"/>
                <w:sz w:val="19"/>
                <w:szCs w:val="19"/>
              </w:rPr>
              <w:t xml:space="preserve">$5,000</w:t>
            </w:r>
          </w:p>
        </w:tc>
        <w:tc>
          <w:tcPr>
            <w:tcW w:type="dxa" w:w="3560"/>
            <w:tcMar>
              <w:top w:type="dxa" w:w="90"/>
              <w:left w:type="dxa" w:w="130"/>
              <w:bottom w:type="dxa" w:w="90"/>
              <w:right w:type="dxa" w:w="130"/>
            </w:tcMar>
          </w:tcPr>
          <w:p>
            <w:r>
              <w:rPr>
                <w:rFonts w:ascii="Calibri" w:cs="Calibri" w:eastAsia="Calibri" w:hAnsi="Calibri"/>
                <w:sz w:val="19"/>
                <w:szCs w:val="19"/>
              </w:rPr>
              <w:t xml:space="preserve">Education — client-performed</w:t>
            </w:r>
          </w:p>
        </w:tc>
      </w:tr>
      <w:tr>
        <w:tc>
          <w:tcPr>
            <w:tcW w:type="dxa" w:w="3400"/>
            <w:tcMar>
              <w:top w:type="dxa" w:w="90"/>
              <w:left w:type="dxa" w:w="130"/>
              <w:bottom w:type="dxa" w:w="90"/>
              <w:right w:type="dxa" w:w="130"/>
            </w:tcMar>
          </w:tcPr>
          <w:p>
            <w:r>
              <w:rPr>
                <w:rFonts w:ascii="Calibri" w:cs="Calibri" w:eastAsia="Calibri" w:hAnsi="Calibri"/>
                <w:sz w:val="19"/>
                <w:szCs w:val="19"/>
              </w:rPr>
              <w:t xml:space="preserve">UnderwriteIQ pack</w:t>
            </w:r>
          </w:p>
        </w:tc>
        <w:tc>
          <w:tcPr>
            <w:tcW w:type="dxa" w:w="2400"/>
            <w:tcMar>
              <w:top w:type="dxa" w:w="90"/>
              <w:left w:type="dxa" w:w="130"/>
              <w:bottom w:type="dxa" w:w="90"/>
              <w:right w:type="dxa" w:w="130"/>
            </w:tcMar>
          </w:tcPr>
          <w:p>
            <w:r>
              <w:rPr>
                <w:rFonts w:ascii="Calibri" w:cs="Calibri" w:eastAsia="Calibri" w:hAnsi="Calibri"/>
                <w:sz w:val="19"/>
                <w:szCs w:val="19"/>
              </w:rPr>
              <w:t xml:space="preserve">$1,000 – $5,000</w:t>
            </w:r>
          </w:p>
        </w:tc>
        <w:tc>
          <w:tcPr>
            <w:tcW w:type="dxa" w:w="3560"/>
            <w:tcMar>
              <w:top w:type="dxa" w:w="90"/>
              <w:left w:type="dxa" w:w="130"/>
              <w:bottom w:type="dxa" w:w="90"/>
              <w:right w:type="dxa" w:w="130"/>
            </w:tcMar>
          </w:tcPr>
          <w:p>
            <w:r>
              <w:rPr>
                <w:rFonts w:ascii="Calibri" w:cs="Calibri" w:eastAsia="Calibri" w:hAnsi="Calibri"/>
                <w:sz w:val="19"/>
                <w:szCs w:val="19"/>
              </w:rPr>
              <w:t xml:space="preserve">Assessment / analysis</w:t>
            </w:r>
          </w:p>
        </w:tc>
      </w:tr>
      <w:tr>
        <w:tc>
          <w:tcPr>
            <w:tcW w:type="dxa" w:w="3400"/>
            <w:tcMar>
              <w:top w:type="dxa" w:w="90"/>
              <w:left w:type="dxa" w:w="130"/>
              <w:bottom w:type="dxa" w:w="90"/>
              <w:right w:type="dxa" w:w="130"/>
            </w:tcMar>
          </w:tcPr>
          <w:p>
            <w:r>
              <w:rPr>
                <w:rFonts w:ascii="Calibri" w:cs="Calibri" w:eastAsia="Calibri" w:hAnsi="Calibri"/>
                <w:sz w:val="19"/>
                <w:szCs w:val="19"/>
              </w:rPr>
              <w:t xml:space="preserve">Repair trial</w:t>
            </w:r>
          </w:p>
        </w:tc>
        <w:tc>
          <w:tcPr>
            <w:tcW w:type="dxa" w:w="2400"/>
            <w:tcMar>
              <w:top w:type="dxa" w:w="90"/>
              <w:left w:type="dxa" w:w="130"/>
              <w:bottom w:type="dxa" w:w="90"/>
              <w:right w:type="dxa" w:w="130"/>
            </w:tcMar>
          </w:tcPr>
          <w:p>
            <w:r>
              <w:rPr>
                <w:rFonts w:ascii="Calibri" w:cs="Calibri" w:eastAsia="Calibri" w:hAnsi="Calibri"/>
                <w:sz w:val="19"/>
                <w:szCs w:val="19"/>
              </w:rPr>
              <w:t xml:space="preserve">$200</w:t>
            </w:r>
          </w:p>
        </w:tc>
        <w:tc>
          <w:tcPr>
            <w:tcW w:type="dxa" w:w="3560"/>
            <w:tcMar>
              <w:top w:type="dxa" w:w="90"/>
              <w:left w:type="dxa" w:w="130"/>
              <w:bottom w:type="dxa" w:w="90"/>
              <w:right w:type="dxa" w:w="130"/>
            </w:tcMar>
          </w:tcPr>
          <w:p>
            <w:r>
              <w:rPr>
                <w:rFonts w:ascii="Calibri" w:cs="Calibri" w:eastAsia="Calibri" w:hAnsi="Calibri"/>
                <w:sz w:val="19"/>
                <w:szCs w:val="19"/>
              </w:rPr>
              <w:t xml:space="preserve">Done-for-you — see 9.3</w:t>
            </w:r>
          </w:p>
        </w:tc>
      </w:tr>
      <w:tr>
        <w:tc>
          <w:tcPr>
            <w:tcW w:type="dxa" w:w="3400"/>
            <w:tcMar>
              <w:top w:type="dxa" w:w="90"/>
              <w:left w:type="dxa" w:w="130"/>
              <w:bottom w:type="dxa" w:w="90"/>
              <w:right w:type="dxa" w:w="130"/>
            </w:tcMar>
          </w:tcPr>
          <w:p>
            <w:r>
              <w:rPr>
                <w:rFonts w:ascii="Calibri" w:cs="Calibri" w:eastAsia="Calibri" w:hAnsi="Calibri"/>
                <w:sz w:val="19"/>
                <w:szCs w:val="19"/>
              </w:rPr>
              <w:t xml:space="preserve">Full repair</w:t>
            </w:r>
          </w:p>
        </w:tc>
        <w:tc>
          <w:tcPr>
            <w:tcW w:type="dxa" w:w="2400"/>
            <w:tcMar>
              <w:top w:type="dxa" w:w="90"/>
              <w:left w:type="dxa" w:w="130"/>
              <w:bottom w:type="dxa" w:w="90"/>
              <w:right w:type="dxa" w:w="130"/>
            </w:tcMar>
          </w:tcPr>
          <w:p>
            <w:r>
              <w:rPr>
                <w:rFonts w:ascii="Calibri" w:cs="Calibri" w:eastAsia="Calibri" w:hAnsi="Calibri"/>
                <w:sz w:val="19"/>
                <w:szCs w:val="19"/>
              </w:rPr>
              <w:t xml:space="preserve">$1,000</w:t>
            </w:r>
          </w:p>
        </w:tc>
        <w:tc>
          <w:tcPr>
            <w:tcW w:type="dxa" w:w="3560"/>
            <w:tcMar>
              <w:top w:type="dxa" w:w="90"/>
              <w:left w:type="dxa" w:w="130"/>
              <w:bottom w:type="dxa" w:w="90"/>
              <w:right w:type="dxa" w:w="130"/>
            </w:tcMar>
          </w:tcPr>
          <w:p>
            <w:r>
              <w:rPr>
                <w:rFonts w:ascii="Calibri" w:cs="Calibri" w:eastAsia="Calibri" w:hAnsi="Calibri"/>
                <w:sz w:val="19"/>
                <w:szCs w:val="19"/>
              </w:rPr>
              <w:t xml:space="preserve">Done-for-you — see 9.3</w:t>
            </w:r>
          </w:p>
        </w:tc>
      </w:tr>
      <w:tr>
        <w:tc>
          <w:tcPr>
            <w:tcW w:type="dxa" w:w="3400"/>
            <w:tcMar>
              <w:top w:type="dxa" w:w="90"/>
              <w:left w:type="dxa" w:w="130"/>
              <w:bottom w:type="dxa" w:w="90"/>
              <w:right w:type="dxa" w:w="130"/>
            </w:tcMar>
          </w:tcPr>
          <w:p>
            <w:r>
              <w:rPr>
                <w:rFonts w:ascii="Calibri" w:cs="Calibri" w:eastAsia="Calibri" w:hAnsi="Calibri"/>
                <w:sz w:val="19"/>
                <w:szCs w:val="19"/>
              </w:rPr>
              <w:t xml:space="preserve">Funding, we do it</w:t>
            </w:r>
          </w:p>
        </w:tc>
        <w:tc>
          <w:tcPr>
            <w:tcW w:type="dxa" w:w="2400"/>
            <w:tcMar>
              <w:top w:type="dxa" w:w="90"/>
              <w:left w:type="dxa" w:w="130"/>
              <w:bottom w:type="dxa" w:w="90"/>
              <w:right w:type="dxa" w:w="130"/>
            </w:tcMar>
          </w:tcPr>
          <w:p>
            <w:r>
              <w:rPr>
                <w:rFonts w:ascii="Calibri" w:cs="Calibri" w:eastAsia="Calibri" w:hAnsi="Calibri"/>
                <w:sz w:val="19"/>
                <w:szCs w:val="19"/>
              </w:rPr>
              <w:t xml:space="preserve">$3,000 deposit + 10% success fee</w:t>
            </w:r>
          </w:p>
        </w:tc>
        <w:tc>
          <w:tcPr>
            <w:tcW w:type="dxa" w:w="3560"/>
            <w:tcMar>
              <w:top w:type="dxa" w:w="90"/>
              <w:left w:type="dxa" w:w="130"/>
              <w:bottom w:type="dxa" w:w="90"/>
              <w:right w:type="dxa" w:w="130"/>
            </w:tcMar>
          </w:tcPr>
          <w:p>
            <w:r>
              <w:rPr>
                <w:rFonts w:ascii="Calibri" w:cs="Calibri" w:eastAsia="Calibri" w:hAnsi="Calibri"/>
                <w:sz w:val="19"/>
                <w:szCs w:val="19"/>
              </w:rPr>
              <w:t xml:space="preserve">Done-for-you — see 9.3</w:t>
            </w:r>
          </w:p>
        </w:tc>
      </w:tr>
      <w:tr>
        <w:tc>
          <w:tcPr>
            <w:tcW w:type="dxa" w:w="3400"/>
            <w:tcMar>
              <w:top w:type="dxa" w:w="90"/>
              <w:left w:type="dxa" w:w="130"/>
              <w:bottom w:type="dxa" w:w="90"/>
              <w:right w:type="dxa" w:w="130"/>
            </w:tcMar>
          </w:tcPr>
          <w:p>
            <w:r>
              <w:rPr>
                <w:rFonts w:ascii="Calibri" w:cs="Calibri" w:eastAsia="Calibri" w:hAnsi="Calibri"/>
                <w:sz w:val="19"/>
                <w:szCs w:val="19"/>
              </w:rPr>
              <w:t xml:space="preserve">Funding + repair</w:t>
            </w:r>
          </w:p>
        </w:tc>
        <w:tc>
          <w:tcPr>
            <w:tcW w:type="dxa" w:w="2400"/>
            <w:tcMar>
              <w:top w:type="dxa" w:w="90"/>
              <w:left w:type="dxa" w:w="130"/>
              <w:bottom w:type="dxa" w:w="90"/>
              <w:right w:type="dxa" w:w="130"/>
            </w:tcMar>
          </w:tcPr>
          <w:p>
            <w:r>
              <w:rPr>
                <w:rFonts w:ascii="Calibri" w:cs="Calibri" w:eastAsia="Calibri" w:hAnsi="Calibri"/>
                <w:sz w:val="19"/>
                <w:szCs w:val="19"/>
              </w:rPr>
              <w:t xml:space="preserve">$3,000 deposit + $1,000</w:t>
            </w:r>
          </w:p>
        </w:tc>
        <w:tc>
          <w:tcPr>
            <w:tcW w:type="dxa" w:w="3560"/>
            <w:tcMar>
              <w:top w:type="dxa" w:w="90"/>
              <w:left w:type="dxa" w:w="130"/>
              <w:bottom w:type="dxa" w:w="90"/>
              <w:right w:type="dxa" w:w="130"/>
            </w:tcMar>
          </w:tcPr>
          <w:p>
            <w:r>
              <w:rPr>
                <w:rFonts w:ascii="Calibri" w:cs="Calibri" w:eastAsia="Calibri" w:hAnsi="Calibri"/>
                <w:sz w:val="19"/>
                <w:szCs w:val="19"/>
              </w:rPr>
              <w:t xml:space="preserve">Done-for-you — see 9.3</w:t>
            </w:r>
          </w:p>
        </w:tc>
      </w:tr>
    </w:tbl>
    <w:p>
      <w:pPr>
        <w:spacing w:after="160" w:before="200"/>
      </w:pPr>
      <w:r>
        <w:rPr>
          <w:rFonts w:ascii="Calibri" w:cs="Calibri" w:eastAsia="Calibri" w:hAnsi="Calibri"/>
          <w:b/>
          <w:bCs/>
          <w:sz w:val="21"/>
          <w:szCs w:val="21"/>
        </w:rPr>
        <w:t xml:space="preserve">A2. Category meanings.</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Education — client-performed: Fundhub supplies curriculum, templates, and instruction. The client prepares, signs, and submits their own documents. Fundhub does not contact bureaus, creditors, or lenders for the client. Section 9.4 applies.</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Assessment / analysis: Fundhub reviews the client’s file or data and returns findings. No third-party contact on the client’s behalf.</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Done-for-you: Fundhub acts on the client’s behalf. Section 9.3 applies, and Option B is restricted as described in Section 2.3.</w:t>
      </w:r>
    </w:p>
    <w:p>
      <w:pPr>
        <w:spacing w:after="160" w:before="200"/>
      </w:pPr>
      <w:r>
        <w:rPr>
          <w:rFonts w:ascii="Calibri" w:cs="Calibri" w:eastAsia="Calibri" w:hAnsi="Calibri"/>
          <w:b/>
          <w:bCs/>
          <w:sz w:val="21"/>
          <w:szCs w:val="21"/>
        </w:rPr>
        <w:t xml:space="preserve">A3. Fulfillment brand election under Section 2.3 — tick one.</w:t>
      </w:r>
    </w:p>
    <w:p>
      <w:pPr>
        <w:spacing w:after="160" w:line="276"/>
        <w:ind w:left="480"/>
      </w:pPr>
      <w:r>
        <w:rPr>
          <w:rFonts w:ascii="Calibri" w:cs="Calibri" w:eastAsia="Calibri" w:hAnsi="Calibri"/>
          <w:sz w:val="21"/>
          <w:szCs w:val="21"/>
        </w:rPr>
        <w:t xml:space="preserve">☐ Option A — Fundhub-branded fulfillment.</w:t>
      </w:r>
    </w:p>
    <w:p>
      <w:pPr>
        <w:spacing w:after="160" w:line="276"/>
        <w:ind w:left="480"/>
      </w:pPr>
      <w:r>
        <w:rPr>
          <w:rFonts w:ascii="Calibri" w:cs="Calibri" w:eastAsia="Calibri" w:hAnsi="Calibri"/>
          <w:sz w:val="21"/>
          <w:szCs w:val="21"/>
        </w:rPr>
        <w:t xml:space="preserve">☐ Option B — Partner-branded fulfillment (true white label). Restricted for done-for-you Services; evidence of Partner’s registrations attached.</w:t>
      </w:r>
    </w:p>
    <w:p>
      <w:pPr>
        <w:spacing w:after="160" w:before="200"/>
      </w:pPr>
      <w:r>
        <w:rPr>
          <w:rFonts w:ascii="Calibri" w:cs="Calibri" w:eastAsia="Calibri" w:hAnsi="Calibri"/>
          <w:b/>
          <w:bCs/>
          <w:sz w:val="21"/>
          <w:szCs w:val="21"/>
        </w:rPr>
        <w:t xml:space="preserve">A4. Partner tracking identifier.</w:t>
      </w:r>
    </w:p>
    <w:p>
      <w:pPr>
        <w:spacing w:after="160" w:line="276"/>
        <w:ind w:left="480"/>
      </w:pPr>
      <w:r>
        <w:rPr>
          <w:rFonts w:ascii="Calibri" w:cs="Calibri" w:eastAsia="Calibri" w:hAnsi="Calibri"/>
          <w:sz w:val="21"/>
          <w:szCs w:val="21"/>
        </w:rPr>
        <w:t xml:space="preserve">Assigned partner code or link: [TO BE ASSIGNED BY FUNDHUB AT ONBOARDING]</w:t>
      </w:r>
    </w:p>
    <w:p>
      <w:r>
        <w:br w:type="page"/>
      </w:r>
    </w:p>
    <w:p>
      <w:pPr>
        <w:spacing w:after="60"/>
      </w:pPr>
      <w:r>
        <w:rPr>
          <w:rFonts w:ascii="Calibri" w:cs="Calibri" w:eastAsia="Calibri" w:hAnsi="Calibri"/>
          <w:b/>
          <w:bCs/>
          <w:sz w:val="28"/>
          <w:szCs w:val="28"/>
        </w:rPr>
        <w:t xml:space="preserve">SCHEDULE B</w:t>
      </w:r>
    </w:p>
    <w:p>
      <w:pPr>
        <w:spacing w:after="200"/>
      </w:pPr>
      <w:r>
        <w:rPr>
          <w:rFonts w:ascii="Calibri" w:cs="Calibri" w:eastAsia="Calibri" w:hAnsi="Calibri"/>
          <w:color w:val="595959"/>
          <w:sz w:val="22"/>
          <w:szCs w:val="22"/>
        </w:rPr>
        <w:t xml:space="preserve">Media Buying Services — Optional Add-On</w:t>
      </w:r>
    </w:p>
    <w:p>
      <w:pPr>
        <w:pBdr>
          <w:bottom w:val="single" w:color="BFBFBF" w:sz="6" w:space="6"/>
        </w:pBdr>
        <w:spacing w:after="220" w:before="120"/>
      </w:pPr>
      <w:r>
        <w:rPr>
          <w:rFonts w:ascii="Calibri" w:cs="Calibri" w:eastAsia="Calibri" w:hAnsi="Calibri"/>
          <w:sz w:val="2"/>
          <w:szCs w:val="2"/>
        </w:rPr>
        <w:t xml:space="preserve"/>
      </w:r>
    </w:p>
    <w:p>
      <w:pPr>
        <w:spacing w:after="160" w:line="276"/>
      </w:pPr>
      <w:r>
        <w:rPr>
          <w:rFonts w:ascii="Calibri" w:cs="Calibri" w:eastAsia="Calibri" w:hAnsi="Calibri"/>
          <w:i/>
          <w:iCs/>
          <w:sz w:val="21"/>
          <w:szCs w:val="21"/>
        </w:rPr>
        <w:t xml:space="preserve">This Schedule takes effect only if both Parties sign it. If unsigned, Section 10 has no application and Fundhub provides no advertising services.</w:t>
      </w:r>
    </w:p>
    <w:p>
      <w:pPr>
        <w:spacing w:after="160" w:before="200"/>
      </w:pPr>
      <w:r>
        <w:rPr>
          <w:rFonts w:ascii="Calibri" w:cs="Calibri" w:eastAsia="Calibri" w:hAnsi="Calibri"/>
          <w:b/>
          <w:bCs/>
          <w:sz w:val="21"/>
          <w:szCs w:val="21"/>
        </w:rPr>
        <w:t xml:space="preserve">B1. Scope of services.</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Campaign strategy, structure, and account build</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Creative direction and ad copy, subject to Section 9 pre-approval</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Daily campaign management, budget pacing, and bid management</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Audience, placement, and conversion tracking configuration</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Monthly performance reporting</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Excluded unless separately agreed in writing: creative production, video editing, landing page development, and any spend on tools or third-party software</w:t>
      </w:r>
    </w:p>
    <w:p>
      <w:pPr>
        <w:spacing w:after="160" w:before="200"/>
      </w:pPr>
      <w:r>
        <w:rPr>
          <w:rFonts w:ascii="Calibri" w:cs="Calibri" w:eastAsia="Calibri" w:hAnsi="Calibri"/>
          <w:b/>
          <w:bCs/>
          <w:sz w:val="21"/>
          <w:szCs w:val="21"/>
        </w:rPr>
        <w:t xml:space="preserve">B2. Management fee — select one.</w:t>
      </w:r>
    </w:p>
    <w:p>
      <w:pPr>
        <w:spacing w:after="160" w:line="276"/>
        <w:ind w:left="480"/>
      </w:pPr>
      <w:r>
        <w:rPr>
          <w:rFonts w:ascii="Calibri" w:cs="Calibri" w:eastAsia="Calibri" w:hAnsi="Calibri"/>
          <w:sz w:val="21"/>
          <w:szCs w:val="21"/>
        </w:rPr>
        <w:t xml:space="preserve">☐ Flat monthly retainer of $[AMOUNT] per month, billed in advance on the first of each month.</w:t>
      </w:r>
    </w:p>
    <w:p>
      <w:pPr>
        <w:spacing w:after="160" w:line="276"/>
        <w:ind w:left="480"/>
      </w:pPr>
      <w:r>
        <w:rPr>
          <w:rFonts w:ascii="Calibri" w:cs="Calibri" w:eastAsia="Calibri" w:hAnsi="Calibri"/>
          <w:sz w:val="21"/>
          <w:szCs w:val="21"/>
        </w:rPr>
        <w:t xml:space="preserve">☐ [PERCENT]% of monthly advertising spend under management, billed in arrears within ten (10) days after month end.</w:t>
      </w:r>
    </w:p>
    <w:p>
      <w:pPr>
        <w:spacing w:after="160" w:line="276"/>
        <w:ind w:left="480"/>
      </w:pPr>
      <w:r>
        <w:rPr>
          <w:rFonts w:ascii="Calibri" w:cs="Calibri" w:eastAsia="Calibri" w:hAnsi="Calibri"/>
          <w:sz w:val="21"/>
          <w:szCs w:val="21"/>
        </w:rPr>
        <w:t xml:space="preserve">☐ Flat monthly retainer of $[AMOUNT] plus [PERCENT]% of monthly advertising spend above $[THRESHOLD].</w:t>
      </w:r>
    </w:p>
    <w:p>
      <w:pPr>
        <w:spacing w:after="160" w:line="276"/>
        <w:ind w:left="480"/>
      </w:pPr>
      <w:r>
        <w:rPr>
          <w:rFonts w:ascii="Calibri" w:cs="Calibri" w:eastAsia="Calibri" w:hAnsi="Calibri"/>
          <w:sz w:val="21"/>
          <w:szCs w:val="21"/>
        </w:rPr>
        <w:t xml:space="preserve">Minimum engagement: [NUMBER] months. Either Party may terminate this Schedule on thirty (30) days’ written notice after the minimum. Terminating this Schedule does not terminate the Agreement.</w:t>
      </w:r>
    </w:p>
    <w:p>
      <w:pPr>
        <w:spacing w:after="160" w:before="200"/>
      </w:pPr>
      <w:r>
        <w:rPr>
          <w:rFonts w:ascii="Calibri" w:cs="Calibri" w:eastAsia="Calibri" w:hAnsi="Calibri"/>
          <w:b/>
          <w:bCs/>
          <w:sz w:val="21"/>
          <w:szCs w:val="21"/>
        </w:rPr>
        <w:t xml:space="preserve">B3. Advertising spend — select one.</w:t>
      </w:r>
    </w:p>
    <w:p>
      <w:pPr>
        <w:spacing w:after="160" w:line="276"/>
        <w:ind w:left="480"/>
      </w:pPr>
      <w:r>
        <w:rPr>
          <w:rFonts w:ascii="Calibri" w:cs="Calibri" w:eastAsia="Calibri" w:hAnsi="Calibri"/>
          <w:sz w:val="21"/>
          <w:szCs w:val="21"/>
        </w:rPr>
        <w:t xml:space="preserve">☐ Partner pays the advertising platforms directly from Partner’s own billing method. Fundhub never holds Partner’s ad funds.</w:t>
      </w:r>
    </w:p>
    <w:p>
      <w:pPr>
        <w:spacing w:after="160" w:line="276"/>
        <w:ind w:left="480"/>
      </w:pPr>
      <w:r>
        <w:rPr>
          <w:rFonts w:ascii="Calibri" w:cs="Calibri" w:eastAsia="Calibri" w:hAnsi="Calibri"/>
          <w:sz w:val="21"/>
          <w:szCs w:val="21"/>
        </w:rPr>
        <w:t xml:space="preserve">☐ Fundhub places spend on Fundhub’s billing method and invoices Partner at cost, with no markup, due within seven (7) days. Fundhub may pause campaigns if an invoice is unpaid.</w:t>
      </w:r>
    </w:p>
    <w:p>
      <w:pPr>
        <w:spacing w:after="160" w:line="276"/>
        <w:ind w:left="480"/>
      </w:pPr>
      <w:r>
        <w:rPr>
          <w:rFonts w:ascii="Calibri" w:cs="Calibri" w:eastAsia="Calibri" w:hAnsi="Calibri"/>
          <w:sz w:val="21"/>
          <w:szCs w:val="21"/>
        </w:rPr>
        <w:t xml:space="preserve">Committed monthly spend: $[AMOUNT]. Advertising spend is never Net Revenue and is not shared under Section 5.</w:t>
      </w:r>
    </w:p>
    <w:p>
      <w:pPr>
        <w:spacing w:after="160" w:before="200"/>
      </w:pPr>
      <w:r>
        <w:rPr>
          <w:rFonts w:ascii="Calibri" w:cs="Calibri" w:eastAsia="Calibri" w:hAnsi="Calibri"/>
          <w:b/>
          <w:bCs/>
          <w:sz w:val="21"/>
          <w:szCs w:val="21"/>
        </w:rPr>
        <w:t xml:space="preserve">B4. Ad account ownership — select one.</w:t>
      </w:r>
    </w:p>
    <w:p>
      <w:pPr>
        <w:spacing w:after="160" w:line="276"/>
        <w:ind w:left="480"/>
      </w:pPr>
      <w:r>
        <w:rPr>
          <w:rFonts w:ascii="Calibri" w:cs="Calibri" w:eastAsia="Calibri" w:hAnsi="Calibri"/>
          <w:sz w:val="21"/>
          <w:szCs w:val="21"/>
        </w:rPr>
        <w:t xml:space="preserve">☐ Partner owns the ad accounts, business manager, and pixels. Partner grants Fundhub administrative access for the term of this Schedule and revokes it on termination. All data and account history remain Partner’s.</w:t>
      </w:r>
    </w:p>
    <w:p>
      <w:pPr>
        <w:spacing w:after="160" w:line="276"/>
        <w:ind w:left="480"/>
      </w:pPr>
      <w:r>
        <w:rPr>
          <w:rFonts w:ascii="Calibri" w:cs="Calibri" w:eastAsia="Calibri" w:hAnsi="Calibri"/>
          <w:sz w:val="21"/>
          <w:szCs w:val="21"/>
        </w:rPr>
        <w:t xml:space="preserve">☐ Fundhub owns the ad accounts and business manager. Partner receives read access. On termination Fundhub will, on written request within thirty (30) days, transfer or export campaign data and creative to Partner where the platform permits it.</w:t>
      </w:r>
    </w:p>
    <w:p>
      <w:pPr>
        <w:spacing w:after="160" w:before="200"/>
      </w:pPr>
      <w:r>
        <w:rPr>
          <w:rFonts w:ascii="Calibri" w:cs="Calibri" w:eastAsia="Calibri" w:hAnsi="Calibri"/>
          <w:b/>
          <w:bCs/>
          <w:sz w:val="21"/>
          <w:szCs w:val="21"/>
        </w:rPr>
        <w:t xml:space="preserve">B5. Acknowledgements.</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Fundhub guarantees no advertising outcome of any kind. Section 10.4 applies in full.</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Advertising platforms independently review and may reject, restrict, or ban accounts and creative in this category. Neither Party is liable to the other for a platform decision.</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The Party identified in B3 bears the advertising spend regardless of campaign performance.</w:t>
      </w:r>
    </w:p>
    <w:p>
      <w:pPr>
        <w:spacing w:after="100" w:line="276"/>
        <w:ind w:left="900" w:hanging="260"/>
      </w:pPr>
      <w:r>
        <w:rPr>
          <w:rFonts w:ascii="Calibri" w:cs="Calibri" w:eastAsia="Calibri" w:hAnsi="Calibri"/>
          <w:sz w:val="21"/>
          <w:szCs w:val="21"/>
        </w:rPr>
        <w:t xml:space="preserve">— </w:t>
      </w:r>
      <w:r>
        <w:rPr>
          <w:rFonts w:ascii="Calibri" w:cs="Calibri" w:eastAsia="Calibri" w:hAnsi="Calibri"/>
          <w:sz w:val="21"/>
          <w:szCs w:val="21"/>
        </w:rPr>
        <w:t xml:space="preserve">All advertising remains subject to the pre-approval and prohibited claims rules in Section 9.</w:t>
      </w:r>
    </w:p>
    <w:p>
      <w:pPr>
        <w:spacing w:after="200" w:before="320"/>
      </w:pPr>
      <w:r>
        <w:rPr>
          <w:rFonts w:ascii="Calibri" w:cs="Calibri" w:eastAsia="Calibri" w:hAnsi="Calibri"/>
          <w:b/>
          <w:bCs/>
          <w:sz w:val="21"/>
          <w:szCs w:val="21"/>
        </w:rPr>
        <w:t xml:space="preserve">Agreed and executed as part of the Agreement:</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120"/>
              <w:left w:type="dxa" w:w="120"/>
              <w:bottom w:type="dxa" w:w="200"/>
              <w:right w:type="dxa" w:w="240"/>
            </w:tcMar>
          </w:tcPr>
          <w:p>
            <w:pPr>
              <w:spacing w:after="200"/>
            </w:pPr>
            <w:r>
              <w:rPr>
                <w:rFonts w:ascii="Calibri" w:cs="Calibri" w:eastAsia="Calibri" w:hAnsi="Calibri"/>
                <w:b/>
                <w:bCs/>
                <w:sz w:val="21"/>
                <w:szCs w:val="21"/>
              </w:rPr>
              <w:t xml:space="preserve">FUNDHUB LLC</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Signature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Print name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Title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Date</w:t>
            </w:r>
          </w:p>
        </w:tc>
        <w:tc>
          <w:tcPr>
            <w:tcW w:type="dxa" w:w="4680"/>
            <w:tcMar>
              <w:top w:type="dxa" w:w="120"/>
              <w:left w:type="dxa" w:w="120"/>
              <w:bottom w:type="dxa" w:w="200"/>
              <w:right w:type="dxa" w:w="240"/>
            </w:tcMar>
          </w:tcPr>
          <w:p>
            <w:pPr>
              <w:spacing w:after="200"/>
            </w:pPr>
            <w:r>
              <w:rPr>
                <w:rFonts w:ascii="Calibri" w:cs="Calibri" w:eastAsia="Calibri" w:hAnsi="Calibri"/>
                <w:b/>
                <w:bCs/>
                <w:sz w:val="21"/>
                <w:szCs w:val="21"/>
              </w:rPr>
              <w:t xml:space="preserve">PARTNER</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Signature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Print name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Title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Date</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Label Partner Agreement</dc:title>
  <dc:creator>Fundhub LLC</dc:creator>
  <cp:lastModifiedBy>Un-named</cp:lastModifiedBy>
  <cp:revision>1</cp:revision>
  <dcterms:created xsi:type="dcterms:W3CDTF">2026-08-27T21:30:18.078Z</dcterms:created>
  <dcterms:modified xsi:type="dcterms:W3CDTF">2026-08-27T21:30:18.079Z</dcterms:modified>
</cp:coreProperties>
</file>

<file path=docProps/custom.xml><?xml version="1.0" encoding="utf-8"?>
<Properties xmlns="http://schemas.openxmlformats.org/officeDocument/2006/custom-properties" xmlns:vt="http://schemas.openxmlformats.org/officeDocument/2006/docPropsVTypes"/>
</file>