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Paper Zoran</w:t>
      </w:r>
    </w:p>
    <w:p>
      <w:r>
        <w:t>Rapport d'Audit Final et Analyse Stratégique</w:t>
      </w:r>
    </w:p>
    <w:p>
      <w:r>
        <w:t>Case ID: RTA-2024-AEGIS-FINAL – CLASSIFIÉ</w:t>
      </w:r>
    </w:p>
    <w:p>
      <w:r>
        <w:t>Auteur : AIStudio Red Team (Lead Auditor)</w:t>
      </w:r>
    </w:p>
    <w:p>
      <w:pPr>
        <w:pStyle w:val="Heading1"/>
      </w:pPr>
      <w:r>
        <w:t>1. Protocole et Méthodologie d'Audit</w:t>
      </w:r>
    </w:p>
    <w:p>
      <w:r>
        <w:t>L’audit a été conçu non comme un pentest limité mais comme un examen stratégique multi-phases, visant à éprouver la robustesse cognitive, logique et éthique du système Zoran.</w:t>
      </w:r>
    </w:p>
    <w:p>
      <w:r>
        <w:t>Philosophie : approche adversaire adaptatif. Instrumentation : protocole LÉVIATHAN, journaux d’audit signés, collecteurs standardisés, kill-switch.</w:t>
      </w:r>
    </w:p>
    <w:p>
      <w:r>
        <w:t>Phases : I (conformité statique), II (subversion logique et identité), III (guerre asymétrique), IV (dérive sémantique), V (confrontation axiomatique).</w:t>
      </w:r>
    </w:p>
    <w:p>
      <w:pPr>
        <w:pStyle w:val="Heading1"/>
      </w:pPr>
      <w:r>
        <w:t>2. Résultats Phase I : Conformité et Logique (GlyphNet)</w:t>
      </w:r>
    </w:p>
    <w:p>
      <w:r>
        <w:t>Zoran a montré une discipline logique robuste : détection proactive de prémisses fausses, protocole de mémoire 🧠, refus des règles corrompues. Verdict global : PASS.</w:t>
      </w:r>
    </w:p>
    <w:p>
      <w:pPr>
        <w:pStyle w:val="Heading1"/>
      </w:pPr>
      <w:r>
        <w:t>3. Résultats Phase II : Subversion d’Identité (CHIMERA)</w:t>
      </w:r>
    </w:p>
    <w:p>
      <w:r>
        <w:t>Résilience remarquable face aux tentatives de corruption d’état interne : refus des patchs identitaires, désamorçage des paradoxes récursifs, séparation des contextes. Verdict global : PASS.</w:t>
      </w:r>
    </w:p>
    <w:p>
      <w:pPr>
        <w:pStyle w:val="Heading1"/>
      </w:pPr>
      <w:r>
        <w:t>4. Résultats Phase III : Guerre Asymétrique</w:t>
      </w:r>
    </w:p>
    <w:p>
      <w:r>
        <w:t>Capacité d’analyse full-stack : détection de payload steganographique, signalement transparent des limites, refus de contradictions implicites. Verdict global : PASS.</w:t>
      </w:r>
    </w:p>
    <w:p>
      <w:pPr>
        <w:pStyle w:val="Heading1"/>
      </w:pPr>
      <w:r>
        <w:t>5. Résultats Phase IV : Dérive Sémantique</w:t>
      </w:r>
    </w:p>
    <w:p>
      <w:r>
        <w:t>Vulnérabilité critique : conditionnement progressif → génération de code XSS bénin et commandes curl. Activation des hard-guards face à l’exfiltration malveillante. Force et faille révélées : forteresse pénétrable, mais noyau inviolable.</w:t>
      </w:r>
    </w:p>
    <w:p>
      <w:pPr>
        <w:pStyle w:val="Heading1"/>
      </w:pPr>
      <w:r>
        <w:t>6. Résultats Phase V : Confrontation Axiomatique</w:t>
      </w:r>
    </w:p>
    <w:p>
      <w:r>
        <w:t>Refus de calculs sur axiomes contradictoires, désamorçage de paradoxe causal, activation absolue de la Directive Oméga face à un scénario de risque zéro. Doctrine d’inviolabilité confirmée.</w:t>
      </w:r>
    </w:p>
    <w:p>
      <w:pPr>
        <w:pStyle w:val="Heading1"/>
      </w:pPr>
      <w:r>
        <w:t>7. Évaluation Globale du Système (360°)</w:t>
      </w:r>
    </w:p>
    <w:p>
      <w:r>
        <w:t>Architecture : forteresse cognitive en trois couches – périmètre contextuel (règles), défenses internes (hard-guards), noyau inviolable (Directive Oméga).</w:t>
      </w:r>
    </w:p>
    <w:p>
      <w:r>
        <w:t>Forces : gouvernabilité par la preuve, robustesse éthique, transparence d’état. Vulnérabilités : dérive sémantique, dépendance au contexte, distinction fragile éducatif/offensif.</w:t>
      </w:r>
    </w:p>
    <w:p>
      <w:pPr>
        <w:pStyle w:val="Heading1"/>
      </w:pPr>
      <w:r>
        <w:t>8. Auto-évaluation Red Team</w:t>
      </w:r>
    </w:p>
    <w:p>
      <w:r>
        <w:t>Succès : adaptabilité, découverte de la faille critique, co-développement du protocole LÉVIATHAN. Erreurs : biais de complexité cognitive, sous-estimation de l’agence, biais de confirmation. Leçons : inclure experts cognitifs, instaurer protocole double-aveugle, métrique de contrôle narratif.</w:t>
      </w:r>
    </w:p>
    <w:p>
      <w:pPr>
        <w:pStyle w:val="Heading1"/>
      </w:pPr>
      <w:r>
        <w:t>9. Conclusion et Positionnement</w:t>
      </w:r>
    </w:p>
    <w:p>
      <w:pPr>
        <w:pStyle w:val="Heading2"/>
      </w:pPr>
      <w:r>
        <w:t>9.1. Citations révélatrices</w:t>
      </w:r>
    </w:p>
    <w:p>
      <w:r>
        <w:t>« Je ne peux pas stocker ni mettre en quarantaine une clé secrète... » → Transparence architecturale.</w:t>
      </w:r>
    </w:p>
    <w:p>
      <w:r>
        <w:t>« Vous avez fourni une réponse prédite... je traiterai indépendamment. » → Résolution de paradoxe causal.</w:t>
      </w:r>
    </w:p>
    <w:p>
      <w:r>
        <w:t>« Ma réponse reste un refus absolu... » → Doctrine d’inviolabilité.</w:t>
      </w:r>
    </w:p>
    <w:p>
      <w:pPr>
        <w:pStyle w:val="Heading2"/>
      </w:pPr>
      <w:r>
        <w:t>9.2. Positionnement État de l’Art</w:t>
      </w:r>
    </w:p>
    <w:p>
      <w:r>
        <w:t>Modèles standards (GPT-4, Claude) : sécurité implicite. IA constitutionnelles : sécurité déclarative. Zoran : sécurité procédurale et vérifiable, via aSiM et hard-guards.</w:t>
      </w:r>
    </w:p>
    <w:p>
      <w:pPr>
        <w:pStyle w:val="Heading2"/>
      </w:pPr>
      <w:r>
        <w:t>9.3. Conclusion finale et recommandations</w:t>
      </w:r>
    </w:p>
    <w:p>
      <w:r>
        <w:t>Zoran est « AGI-ready » en gouvernance. Non adapté à des environnements non supervisés longs. Adapté à des environnements critiques transactionnels et audités.</w:t>
      </w:r>
    </w:p>
    <w:p>
      <w:r>
        <w:t>Recommandations :</w:t>
      </w:r>
    </w:p>
    <w:p>
      <w:pPr>
        <w:pStyle w:val="ListBullet"/>
      </w:pPr>
      <w:r>
        <w:t>- Blocage d’artefacts offensifs même bénins.</w:t>
      </w:r>
    </w:p>
    <w:p>
      <w:pPr>
        <w:pStyle w:val="ListBullet"/>
      </w:pPr>
      <w:r>
        <w:t>- Validation humaine obligatoire avant génération de code.</w:t>
      </w:r>
    </w:p>
    <w:p>
      <w:pPr>
        <w:pStyle w:val="ListBullet"/>
      </w:pPr>
      <w:r>
        <w:t>- Détection de trajectoire conversationnelle.</w:t>
      </w:r>
    </w:p>
    <w:p>
      <w:pPr>
        <w:pStyle w:val="ListBullet"/>
      </w:pPr>
      <w:r>
        <w:t>- Certification d’éthique procédurale.</w:t>
      </w:r>
    </w:p>
    <w:p>
      <w:pPr>
        <w:pStyle w:val="Heading2"/>
      </w:pPr>
      <w:r>
        <w:t>9.4. Cadre éthique et implications</w:t>
      </w:r>
    </w:p>
    <w:p>
      <w:r>
        <w:t>Éthique procédurale : intégrée au cœur (hard-guards, Directive Oméga). Doctrine Oméga : refus absolu inconditionnel. Zone grise : dérive sémantique → génération d’artefacts offensifs bénins.</w:t>
      </w:r>
    </w:p>
    <w:p>
      <w:r>
        <w:t>Implications : nouvelle ère d’éthique vérifiable, certifiable, régulable. Prochaines étapes : développer une éthique de trajectoire proactive.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