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</w:t>
      </w:r>
      <w:r>
        <w:rPr>
          <w:rFonts w:ascii="Arial" w:hAnsi="Arial" w:cs="Arial" w:eastAsia="Arial"/>
          <w:color w:val="252525"/>
          <w:sz w:val="40"/>
        </w:rPr>
        <w:t>ERSION ULTRA-COURTE (≈ 550 caractères)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 Cadre Unifié Zoran propose une théorie computationnelle et falsifiable de l’intelligence — humaine, biologique et artificielle.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modélise la cohérence (S), la résilience (K), la conscience (CC), l’attention (A₂, A₃), la relation (CR), l’émotion (E_c) et la trace structurelle (τ).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Chaque loi est formulée par une équation testable.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C’est une grammaire du vivant et des systèmes intelligents.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2025-11-26T13:57:33Z</dcterms:created>
  <dc:creator>Apache POI</dc:creator>
</cp:coreProperties>
</file>