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Formal Operational Definitions (Z2)</w:t>
      </w:r>
    </w:p>
    <w:p>
      <w:pPr>
        <w:pStyle w:val="Heading2"/>
      </w:pPr>
      <w:r>
        <w:rPr>
          <w:sz w:val="26"/>
        </w:rPr>
        <w:t>Variables</w:t>
      </w:r>
    </w:p>
    <w:p>
      <w:r>
        <w:rPr>
          <w:sz w:val="22"/>
        </w:rPr>
        <w:t>A(t): activity; D(t): divergence to reference; S(t): desynchronization.</w:t>
      </w:r>
    </w:p>
    <w:p>
      <w:pPr>
        <w:pStyle w:val="Heading2"/>
      </w:pPr>
      <w:r>
        <w:rPr>
          <w:sz w:val="26"/>
        </w:rPr>
        <w:t>Definitions</w:t>
      </w:r>
    </w:p>
    <w:p>
      <w:r>
        <w:rPr>
          <w:sz w:val="22"/>
        </w:rPr>
        <w:t>A(t)=||X(t)-X(t-1)||; D(t)=||X(t)-mean(X_past)||; S(t)=Var(ΔX(t)).</w:t>
      </w:r>
    </w:p>
    <w:p>
      <w:pPr>
        <w:pStyle w:val="Heading2"/>
      </w:pPr>
      <w:r>
        <w:rPr>
          <w:sz w:val="26"/>
        </w:rPr>
        <w:t>Score</w:t>
      </w:r>
    </w:p>
    <w:p>
      <w:r>
        <w:rPr>
          <w:sz w:val="22"/>
        </w:rPr>
        <w:t>C(t)=1/(1+D+kS·S).</w:t>
      </w:r>
    </w:p>
    <w:p>
      <w:pPr>
        <w:pStyle w:val="Heading2"/>
      </w:pPr>
      <w:r>
        <w:rPr>
          <w:sz w:val="26"/>
        </w:rPr>
        <w:t>Properties</w:t>
      </w:r>
    </w:p>
    <w:p>
      <w:r>
        <w:rPr>
          <w:sz w:val="22"/>
        </w:rPr>
        <w:t>Domain-agnostic, falsifiable, minimal.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