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Cohérence, viabilité et démontrabilité scientifique</w:t>
      </w:r>
    </w:p>
    <w:p>
      <w:pPr>
        <w:jc w:val="center"/>
      </w:pPr>
      <w:r>
        <w:t>Pourquoi un critère formel explicite est nécessaire (et ce que cela change)</w:t>
      </w:r>
    </w:p>
    <w:p>
      <w:r/>
    </w:p>
    <w:p>
      <w:pPr>
        <w:jc w:val="center"/>
      </w:pPr>
      <w:r>
        <w:t>Frédéric Tabary</w:t>
      </w:r>
    </w:p>
    <w:p>
      <w:pPr>
        <w:jc w:val="center"/>
      </w:pPr>
      <w:r>
        <w:t>2026-02-04</w:t>
      </w:r>
    </w:p>
    <w:p>
      <w:r/>
    </w:p>
    <w:p>
      <w:pPr>
        <w:spacing w:after="120"/>
      </w:pPr>
      <w:r>
        <w:t>Ce document est conçu comme une note structurée, réutilisable telle quelle (post, commentaire, annexe de white paper). Objectif : verrouiller une position simple, testable et non narrative : sans critère formel explicite (équation, invariant, métrique), on reste au niveau du commentaire sémantique ; on peut décrire et convaincre, mais on ne peut pas démontrer au sens scientifique strict.</w:t>
      </w:r>
    </w:p>
    <w:p>
      <w:pPr>
        <w:pStyle w:val="Heading1"/>
      </w:pPr>
      <w:r>
        <w:t>1. Contexte de la discussion</w:t>
      </w:r>
    </w:p>
    <w:p>
      <w:pPr>
        <w:spacing w:after="120"/>
      </w:pPr>
      <w:r>
        <w:t>Dans un échange public, une objection revient souvent : « La cohérence doit être éprouvée sur trajectoires réelles ; l’équation viendra peut-être après ». La réponse ci-dessous ne nie pas l’importance des stress tests : elle clarifie simplement la hiérarchie épistémique. Un stress test sans critère formel explicite produit un constat ; il ne produit pas une démonstration.</w:t>
      </w:r>
    </w:p>
    <w:p>
      <w:pPr>
        <w:pStyle w:val="ListBullet"/>
        <w:spacing w:after="40"/>
      </w:pPr>
      <w:r>
        <w:t>Un test sans métrique = observation.</w:t>
      </w:r>
    </w:p>
    <w:p>
      <w:pPr>
        <w:pStyle w:val="ListBullet"/>
        <w:spacing w:after="40"/>
      </w:pPr>
      <w:r>
        <w:t>Une métrique sans test = formalisme vide.</w:t>
      </w:r>
    </w:p>
    <w:p>
      <w:pPr>
        <w:pStyle w:val="ListBullet"/>
        <w:spacing w:after="40"/>
      </w:pPr>
      <w:r>
        <w:t>La science exige les deux : métrique explicite + protocole de falsification.</w:t>
      </w:r>
    </w:p>
    <w:p>
      <w:pPr>
        <w:pStyle w:val="Heading1"/>
      </w:pPr>
      <w:r>
        <w:t>2. Thèse (formulation courte)</w:t>
      </w:r>
    </w:p>
    <w:p>
      <w:pPr>
        <w:spacing w:after="120"/>
      </w:pPr>
      <w:r>
        <w:t>Sans équation (au sens large : invariant, métrique, contrainte formelle explicitée), « cohérence » et « viabilité » restent des étiquettes. On peut dire qu’un cadre « tient », mais on ne peut pas démontrer qu’il tient, ni comparer deux cadres, ni définir ce qui constituerait une falsification.</w:t>
      </w:r>
    </w:p>
    <w:p>
      <w:pPr>
        <w:spacing w:after="120"/>
      </w:pPr>
      <w:r>
        <w:t>Donc : oui, sans équation, le reste est essentiellement sémantique. Et oui, dans ce cas, ce n’est pas scientifiquement démontrable.</w:t>
      </w:r>
    </w:p>
    <w:p>
      <w:pPr>
        <w:pStyle w:val="Heading1"/>
      </w:pPr>
      <w:r>
        <w:t>3. Définitions minimales (sans philosophie)</w:t>
      </w:r>
    </w:p>
    <w:p>
      <w:pPr>
        <w:pStyle w:val="ListBullet"/>
        <w:spacing w:after="40"/>
      </w:pPr>
      <w:r>
        <w:t>Critère : règle explicite qui décide (passe/échoue) indépendamment du commentaire.</w:t>
      </w:r>
    </w:p>
    <w:p>
      <w:pPr>
        <w:pStyle w:val="ListBullet"/>
        <w:spacing w:after="40"/>
      </w:pPr>
      <w:r>
        <w:t>Métrique : fonction mesurable qui ordonne des cas (plus/moins) et permet la comparaison.</w:t>
      </w:r>
    </w:p>
    <w:p>
      <w:pPr>
        <w:pStyle w:val="ListBullet"/>
        <w:spacing w:after="40"/>
      </w:pPr>
      <w:r>
        <w:t>Falsifiabilité : existence d’au moins un protocole reproductible qui peut invalider le cadre.</w:t>
      </w:r>
    </w:p>
    <w:p>
      <w:pPr>
        <w:pStyle w:val="ListBullet"/>
        <w:spacing w:after="40"/>
      </w:pPr>
      <w:r>
        <w:t>Stress test : série de perturbations (adversariales ou non) appliquées à des conditions initiales, avec mesure d’un critère avant/après.</w:t>
      </w:r>
    </w:p>
    <w:p>
      <w:pPr>
        <w:spacing w:after="120"/>
      </w:pPr>
      <w:r>
        <w:t>Le point clé : dire « ça tient sous contrainte » n’est informatif que si l’on sait ce que « tenir » signifie, et comment on le mesure.</w:t>
      </w:r>
    </w:p>
    <w:p>
      <w:pPr>
        <w:pStyle w:val="Heading1"/>
      </w:pPr>
      <w:r>
        <w:t>4. Pourquoi « ça tient » sans métrique n’est pas une démonstration</w:t>
      </w:r>
    </w:p>
    <w:p>
      <w:pPr>
        <w:spacing w:after="120"/>
      </w:pPr>
      <w:r>
        <w:t>Quatre raisons structurelles (indépendantes du sujet) :</w:t>
      </w:r>
    </w:p>
    <w:p>
      <w:pPr>
        <w:pStyle w:val="Heading2"/>
      </w:pPr>
      <w:r>
        <w:t>4.1 Sous-détermination</w:t>
      </w:r>
    </w:p>
    <w:p>
      <w:pPr>
        <w:spacing w:after="120"/>
      </w:pPr>
      <w:r>
        <w:t>Le même comportement observé peut être expliqué par plusieurs mécanismes incompatibles. Sans critère formel, on ne peut pas trancher : on projette.</w:t>
      </w:r>
    </w:p>
    <w:p>
      <w:pPr>
        <w:pStyle w:val="Heading2"/>
      </w:pPr>
      <w:r>
        <w:t>4.2 Biais de survivance</w:t>
      </w:r>
    </w:p>
    <w:p>
      <w:pPr>
        <w:spacing w:after="120"/>
      </w:pPr>
      <w:r>
        <w:t>On observe ce qui a tenu (jusqu’ici). Sans définition quantitative de la tenue, la « preuve » est toujours confondue avec un succès contingent.</w:t>
      </w:r>
    </w:p>
    <w:p>
      <w:pPr>
        <w:pStyle w:val="Heading2"/>
      </w:pPr>
      <w:r>
        <w:t>4.3 Dépendance au contexte</w:t>
      </w:r>
    </w:p>
    <w:p>
      <w:pPr>
        <w:spacing w:after="120"/>
      </w:pPr>
      <w:r>
        <w:t>Un cadre peut « tenir » dans un contexte A et échouer dans un contexte B. Sans métrique d’invariance intercontextes (A, B, C), l’assertion « ça tient » est locale, pas scientifique.</w:t>
      </w:r>
    </w:p>
    <w:p>
      <w:pPr>
        <w:pStyle w:val="Heading2"/>
      </w:pPr>
      <w:r>
        <w:t>4.4 Absence de condition de falsification</w:t>
      </w:r>
    </w:p>
    <w:p>
      <w:pPr>
        <w:spacing w:after="120"/>
      </w:pPr>
      <w:r>
        <w:t>Si rien ne peut invalider l’assertion (ou si l’invalidation est toujours réinterprétable), on n’est plus dans la science, mais dans le récit.</w:t>
      </w:r>
    </w:p>
    <w:p>
      <w:pPr>
        <w:pStyle w:val="Heading1"/>
      </w:pPr>
      <w:r>
        <w:t>5. Sémantique vs scientifique (table de décision)</w:t>
      </w:r>
    </w:p>
    <w:tbl>
      <w:tblPr>
        <w:tblW w:type="auto" w:w="0"/>
        <w:tblLook w:firstColumn="1" w:firstRow="1" w:lastColumn="0" w:lastRow="0" w:noHBand="0" w:noVBand="1" w:val="04A0"/>
      </w:tblPr>
      <w:tblGrid>
        <w:gridCol w:w="3249"/>
        <w:gridCol w:w="3249"/>
        <w:gridCol w:w="3249"/>
      </w:tblGrid>
      <w:tr>
        <w:tc>
          <w:tcPr>
            <w:tcW w:type="dxa" w:w="3249"/>
          </w:tcPr>
          <w:p>
            <w:r>
              <w:t>Élément</w:t>
            </w:r>
          </w:p>
        </w:tc>
        <w:tc>
          <w:tcPr>
            <w:tcW w:type="dxa" w:w="3249"/>
          </w:tcPr>
          <w:p>
            <w:r>
              <w:t>Sans critère formel explicite</w:t>
            </w:r>
          </w:p>
        </w:tc>
        <w:tc>
          <w:tcPr>
            <w:tcW w:type="dxa" w:w="3249"/>
          </w:tcPr>
          <w:p>
            <w:r>
              <w:t>Avec critère formel explicite</w:t>
            </w:r>
          </w:p>
        </w:tc>
      </w:tr>
      <w:tr>
        <w:tc>
          <w:tcPr>
            <w:tcW w:type="dxa" w:w="3249"/>
          </w:tcPr>
          <w:p>
            <w:r>
              <w:t>Définition de “tenir”</w:t>
            </w:r>
          </w:p>
        </w:tc>
        <w:tc>
          <w:tcPr>
            <w:tcW w:type="dxa" w:w="3249"/>
          </w:tcPr>
          <w:p>
            <w:r>
              <w:t>Narrative / interprétable</w:t>
            </w:r>
          </w:p>
        </w:tc>
        <w:tc>
          <w:tcPr>
            <w:tcW w:type="dxa" w:w="3249"/>
          </w:tcPr>
          <w:p>
            <w:r>
              <w:t>Mesurable / testable</w:t>
            </w:r>
          </w:p>
        </w:tc>
      </w:tr>
      <w:tr>
        <w:tc>
          <w:tcPr>
            <w:tcW w:type="dxa" w:w="3249"/>
          </w:tcPr>
          <w:p>
            <w:r>
              <w:t>Comparaison de cadres</w:t>
            </w:r>
          </w:p>
        </w:tc>
        <w:tc>
          <w:tcPr>
            <w:tcW w:type="dxa" w:w="3249"/>
          </w:tcPr>
          <w:p>
            <w:r>
              <w:t>Opinion / rhétorique</w:t>
            </w:r>
          </w:p>
        </w:tc>
        <w:tc>
          <w:tcPr>
            <w:tcW w:type="dxa" w:w="3249"/>
          </w:tcPr>
          <w:p>
            <w:r>
              <w:t>Ordre &amp; seuils</w:t>
            </w:r>
          </w:p>
        </w:tc>
      </w:tr>
      <w:tr>
        <w:tc>
          <w:tcPr>
            <w:tcW w:type="dxa" w:w="3249"/>
          </w:tcPr>
          <w:p>
            <w:r>
              <w:t>Réfutation possible</w:t>
            </w:r>
          </w:p>
        </w:tc>
        <w:tc>
          <w:tcPr>
            <w:tcW w:type="dxa" w:w="3249"/>
          </w:tcPr>
          <w:p>
            <w:r>
              <w:t>Floue / requalifiable</w:t>
            </w:r>
          </w:p>
        </w:tc>
        <w:tc>
          <w:tcPr>
            <w:tcW w:type="dxa" w:w="3249"/>
          </w:tcPr>
          <w:p>
            <w:r>
              <w:t>Explicite / reproductible</w:t>
            </w:r>
          </w:p>
        </w:tc>
      </w:tr>
      <w:tr>
        <w:tc>
          <w:tcPr>
            <w:tcW w:type="dxa" w:w="3249"/>
          </w:tcPr>
          <w:p>
            <w:r>
              <w:t>Généralisation</w:t>
            </w:r>
          </w:p>
        </w:tc>
        <w:tc>
          <w:tcPr>
            <w:tcW w:type="dxa" w:w="3249"/>
          </w:tcPr>
          <w:p>
            <w:r>
              <w:t>Localement convaincante</w:t>
            </w:r>
          </w:p>
        </w:tc>
        <w:tc>
          <w:tcPr>
            <w:tcW w:type="dxa" w:w="3249"/>
          </w:tcPr>
          <w:p>
            <w:r>
              <w:t>Transposable si invariance</w:t>
            </w:r>
          </w:p>
        </w:tc>
      </w:tr>
      <w:tr>
        <w:tc>
          <w:tcPr>
            <w:tcW w:type="dxa" w:w="3249"/>
          </w:tcPr>
          <w:p>
            <w:r>
              <w:t>Science</w:t>
            </w:r>
          </w:p>
        </w:tc>
        <w:tc>
          <w:tcPr>
            <w:tcW w:type="dxa" w:w="3249"/>
          </w:tcPr>
          <w:p>
            <w:r>
              <w:t>Descriptif</w:t>
            </w:r>
          </w:p>
        </w:tc>
        <w:tc>
          <w:tcPr>
            <w:tcW w:type="dxa" w:w="3249"/>
          </w:tcPr>
          <w:p>
            <w:r>
              <w:t>Falsifiable</w:t>
            </w:r>
          </w:p>
        </w:tc>
      </w:tr>
    </w:tbl>
    <w:p>
      <w:r/>
    </w:p>
    <w:p>
      <w:pPr>
        <w:pStyle w:val="Heading1"/>
      </w:pPr>
      <w:r>
        <w:t>6. Exigences minimales d’un critère formel (checklist)</w:t>
      </w:r>
    </w:p>
    <w:p>
      <w:pPr>
        <w:pStyle w:val="ListBullet"/>
        <w:spacing w:after="40"/>
      </w:pPr>
      <w:r>
        <w:t>Variables définies (quoi, comment mesurer, unité ou normalisation).</w:t>
      </w:r>
    </w:p>
    <w:p>
      <w:pPr>
        <w:pStyle w:val="ListBullet"/>
        <w:spacing w:after="40"/>
      </w:pPr>
      <w:r>
        <w:t>Domaine de validité (conditions où le critère est applicable).</w:t>
      </w:r>
    </w:p>
    <w:p>
      <w:pPr>
        <w:pStyle w:val="ListBullet"/>
        <w:spacing w:after="40"/>
      </w:pPr>
      <w:r>
        <w:t>Règles de non-singularité (éviter les divisions par zéro, les cas dégénérés).</w:t>
      </w:r>
    </w:p>
    <w:p>
      <w:pPr>
        <w:pStyle w:val="ListBullet"/>
        <w:spacing w:after="40"/>
      </w:pPr>
      <w:r>
        <w:t>Seuils ou règles de décision (passe/échoue, ou classement).</w:t>
      </w:r>
    </w:p>
    <w:p>
      <w:pPr>
        <w:pStyle w:val="ListBullet"/>
        <w:spacing w:after="40"/>
      </w:pPr>
      <w:r>
        <w:t>Invariance intercontextes (au moins une manière de tester la robustesse).</w:t>
      </w:r>
    </w:p>
    <w:p>
      <w:pPr>
        <w:pStyle w:val="ListBullet"/>
        <w:spacing w:after="40"/>
      </w:pPr>
      <w:r>
        <w:t>Protocole de falsification (données, scénarios, reproductibilité).</w:t>
      </w:r>
    </w:p>
    <w:p>
      <w:pPr>
        <w:pStyle w:val="Heading1"/>
      </w:pPr>
      <w:r>
        <w:t>7. Protocole minimal de falsification (générique, réutilisable)</w:t>
      </w:r>
    </w:p>
    <w:p>
      <w:pPr>
        <w:spacing w:after="120"/>
      </w:pPr>
      <w:r>
        <w:t>Un protocole minimal, valable pour n’importe quel cadre prétendant à l’universalité :</w:t>
      </w:r>
    </w:p>
    <w:p>
      <w:pPr>
        <w:pStyle w:val="ListBullet"/>
        <w:spacing w:after="40"/>
      </w:pPr>
      <w:r>
        <w:t>1) Définir le critère/métrique M et ses variables mesurables.</w:t>
      </w:r>
    </w:p>
    <w:p>
      <w:pPr>
        <w:pStyle w:val="ListBullet"/>
        <w:spacing w:after="40"/>
      </w:pPr>
      <w:r>
        <w:t>2) Fixer un jeu de scénarios (incluant des cas adversariaux).</w:t>
      </w:r>
    </w:p>
    <w:p>
      <w:pPr>
        <w:pStyle w:val="ListBullet"/>
        <w:spacing w:after="40"/>
      </w:pPr>
      <w:r>
        <w:t>3) Mesurer M(t0) puis appliquer la perturbation puis mesurer M(t1).</w:t>
      </w:r>
    </w:p>
    <w:p>
      <w:pPr>
        <w:pStyle w:val="ListBullet"/>
        <w:spacing w:after="40"/>
      </w:pPr>
      <w:r>
        <w:t>4) Exiger une invariance : les résultats doivent être cohérents sur plusieurs contextes (A, B, C).</w:t>
      </w:r>
    </w:p>
    <w:p>
      <w:pPr>
        <w:pStyle w:val="ListBullet"/>
        <w:spacing w:after="40"/>
      </w:pPr>
      <w:r>
        <w:t>5) Publier : données, paramètres, règles de calcul, et condition de falsification.</w:t>
      </w:r>
    </w:p>
    <w:p>
      <w:pPr>
        <w:spacing w:after="120"/>
      </w:pPr>
      <w:r>
        <w:t>Sans (1), le test mesure un ressenti. Sans (5), il n’est pas scientifique (pas reproductible).</w:t>
      </w:r>
    </w:p>
    <w:p>
      <w:pPr>
        <w:pStyle w:val="Heading1"/>
      </w:pPr>
      <w:r>
        <w:t>8. Réponses aux objections fréquentes</w:t>
      </w:r>
    </w:p>
    <w:p>
      <w:pPr>
        <w:pStyle w:val="Heading2"/>
      </w:pPr>
      <w:r>
        <w:t>8.1 « L’équation vient après, l’épreuve vient avant »</w:t>
      </w:r>
    </w:p>
    <w:p>
      <w:pPr>
        <w:spacing w:after="120"/>
      </w:pPr>
      <w:r>
        <w:t>Dans la pratique, on peut explorer avant de formaliser. Mais dans la rigueur, c’est l’inverse : un résultat ne devient démonstration qu’à partir du moment où le critère est explicite et la falsification possible.</w:t>
      </w:r>
    </w:p>
    <w:p>
      <w:pPr>
        <w:pStyle w:val="Heading2"/>
      </w:pPr>
      <w:r>
        <w:t>8.2 « Le filtre opératoire suffit »</w:t>
      </w:r>
    </w:p>
    <w:p>
      <w:pPr>
        <w:spacing w:after="120"/>
      </w:pPr>
      <w:r>
        <w:t>Un filtre non formalisé suffit pour agir localement, pas pour démontrer. Le même filtre peut être revendiqué par deux cadres incompatibles. La formalisation est ce qui empêche l’ambiguïté d’attribution.</w:t>
      </w:r>
    </w:p>
    <w:p>
      <w:pPr>
        <w:pStyle w:val="Heading2"/>
      </w:pPr>
      <w:r>
        <w:t>8.3 « Ce n’est pas subjectif : c’est ‘survivre dans le temps’ »</w:t>
      </w:r>
    </w:p>
    <w:p>
      <w:pPr>
        <w:spacing w:after="120"/>
      </w:pPr>
      <w:r>
        <w:t>« Survivre » est une phrase, pas une mesure. Tant que « survivre » n’est pas relié à une variable mesurable (coût, bruit, invariance, seuil), on reste dans une définition circulaire : survivre = durer.</w:t>
      </w:r>
    </w:p>
    <w:p>
      <w:pPr>
        <w:pStyle w:val="Heading1"/>
      </w:pPr>
      <w:r>
        <w:t>9. Conclusion (position verrouillée)</w:t>
      </w:r>
    </w:p>
    <w:p>
      <w:pPr>
        <w:spacing w:after="120"/>
      </w:pPr>
      <w:r>
        <w:t>Valider un cadre, ce n’est pas dire qu’il « tient ». C’est montrer qu’il résiste à la falsification selon un critère explicite. Sans critère formel, la discussion est sémantique ; avec, elle devient scientifique.</w:t>
      </w:r>
    </w:p>
    <w:p>
      <w:pPr>
        <w:spacing w:after="120"/>
      </w:pPr>
      <w:r>
        <w:t>Formule finale :</w:t>
      </w:r>
    </w:p>
    <w:p>
      <w:pPr>
        <w:pStyle w:val="ListBullet"/>
        <w:spacing w:after="40"/>
      </w:pPr>
      <w:r>
        <w:t>Sans métrique : descriptif.</w:t>
      </w:r>
    </w:p>
    <w:p>
      <w:pPr>
        <w:pStyle w:val="ListBullet"/>
        <w:spacing w:after="40"/>
      </w:pPr>
      <w:r>
        <w:t>Métrique sans protocole : formalisme vide.</w:t>
      </w:r>
    </w:p>
    <w:p>
      <w:pPr>
        <w:pStyle w:val="ListBullet"/>
        <w:spacing w:after="40"/>
      </w:pPr>
      <w:r>
        <w:t>Métrique + protocole : science falsifiable.</w:t>
      </w:r>
    </w:p>
    <w:p>
      <w:pPr>
        <w:pStyle w:val="Heading1"/>
      </w:pPr>
      <w:r>
        <w:t>Annexe A — Réponse prête à poster (≈ 1000 caractères)</w:t>
      </w:r>
    </w:p>
    <w:p>
      <w:pPr>
        <w:spacing w:after="120"/>
      </w:pPr>
      <w:r>
        <w:t>Tu poses une fausse opposition. Un stress test sans critère formel explicite ne produit pas une démonstration, il produit un constat. Dire « ça tient » reste interprétable tant que « tenir » n’est pas défini de manière mesurable (variables, seuil, invariance, condition de falsification). Sinon, tu ne compares rien : tu racontes un succès contingent.</w:t>
        <w:br/>
        <w:br/>
        <w:t>Un filtre opératoire non formalisé est une heuristique. Une fois formalisé, il devient falsifiable : tu sais ce qui invaliderait le cadre, tu sais comment mesurer l’invariance intercontextes, tu sais distinguer la tenue réelle d’un artefact.</w:t>
        <w:br/>
        <w:br/>
        <w:t>Le test est nécessaire. Mais sans métrique, il ne prouve rien. L’équation ne remplace pas l’épreuve : elle verrouille ce que « tenir » signifie.</w:t>
      </w:r>
    </w:p>
    <w:p>
      <w:pPr>
        <w:pStyle w:val="Heading1"/>
      </w:pPr>
      <w:r>
        <w:t>Annexe B — Réponse courte (≈ 300 caractères)</w:t>
      </w:r>
    </w:p>
    <w:p>
      <w:pPr>
        <w:spacing w:after="120"/>
      </w:pPr>
      <w:r>
        <w:t>Oui. Sans critère formel explicite, « cohérence » et « viabilité » restent des mots. Un stress test sans métrique donne un constat, pas une preuve : pas de seuil, pas d’invariance, pas de falsification. Avec métrique + protocole, ça devient démontrable.</w:t>
      </w:r>
    </w:p>
    <w:p>
      <w:r/>
    </w:p>
    <w:p>
      <w:pPr>
        <w:pStyle w:val="Heading1"/>
      </w:pPr>
      <w:r>
        <w:t>Annexe A — Statut épistémologique du critère de falsification</w:t>
      </w:r>
    </w:p>
    <w:p>
      <w:r>
        <w:t>Le présent document n’énonce pas une définition exhaustive de la science. Il adopte volontairement un critère minimal de démontrabilité : l’existence d’une condition de falsification explicite. Ce choix ne prétend pas réduire la science à un poppérisme strict, mais établir un seuil en deçà duquel une proposition ne peut pas être qualifiée de démontrée.</w:t>
        <w:br/>
        <w:br/>
        <w:t>Des régimes scientifiques exploratoires, abductifs ou heuristiques existent légitimement en amont de ce seuil. Ils jouent un rôle central dans la découverte et la formulation des hypothèses. Toutefois, tant qu’un cadre ne spécifie pas ce qui pourrait l’invalider, il demeure dans un régime descriptif ou interprétatif, non démonstratif.</w:t>
      </w:r>
    </w:p>
    <w:p>
      <w:pPr>
        <w:pStyle w:val="Heading1"/>
      </w:pPr>
      <w:r>
        <w:t>Annexe B — Critère formel et condition de non-vacuité</w:t>
      </w:r>
    </w:p>
    <w:p>
      <w:r>
        <w:t>La présence d’un critère formel explicite n’implique pas, à elle seule, la pertinence scientifique du cadre. Une métrique peut être trivialement définie, mal corrélée au phénomène étudié, ou insensible aux perturbations pertinentes.</w:t>
        <w:br/>
        <w:br/>
        <w:t>Le document suppose donc implicitement une condition de non-vacuité du critère formel : la métrique retenue doit être non triviale, sensible aux variations structurelles du système, et reliée explicitement au phénomène qu’elle prétend qualifier. La formalisation est ainsi une condition nécessaire mais non suffisante de la démonstration scientifique.</w:t>
      </w:r>
    </w:p>
    <w:p>
      <w:pPr>
        <w:pStyle w:val="Heading1"/>
      </w:pPr>
      <w:r>
        <w:t>Annexe C — Formalisation et déplacement de l’interprétation</w:t>
      </w:r>
    </w:p>
    <w:p>
      <w:r>
        <w:t>La formalisation n’élimine pas l’interprétation ; elle en déplace le lieu. L’arbitraire ne disparaît pas avec l’équation, mais se concentre dans des choix explicitables : sélection des variables, définition des seuils, domaine de validité et protocoles de test.</w:t>
        <w:br/>
        <w:br/>
        <w:t>Ce déplacement constitue précisément le gain scientifique du formalisme. Ce qui était implicite et non attaquable dans le discours devient explicite, critiquable et amendable. La formalisation ne supprime pas le débat ; elle le rend opérable.</w:t>
      </w:r>
    </w:p>
    <w:p>
      <w:r/>
    </w:p>
    <w:p>
      <w:pPr>
        <w:pStyle w:val="Heading1"/>
      </w:pPr>
      <w:r>
        <w:t>10. Conséquence éducative directe — La cohérence comme première matière enseignée</w:t>
      </w:r>
    </w:p>
    <w:p>
      <w:r>
        <w:t>Les sections précédentes établissent une thèse méthodologique minimale : aucune affirmation ne peut être dite démontrée sans critère formel explicite et sans condition de falsification. Cette thèse n’est pas spécifique à une discipline ; elle est transversale. Elle implique donc une conséquence éducative directe, indépendante de toute pédagogie particulière.</w:t>
      </w:r>
    </w:p>
    <w:p>
      <w:r>
        <w:t>Si la cohérence est la condition de possibilité de toute démonstration, alors elle est également la condition de possibilité de tout apprentissage valide. Il s’ensuit que la cohérence ne peut être traitée comme une compétence parmi d’autres, ni comme un outil méthodologique optionnel : elle constitue la matière première de l’éducation.</w:t>
      </w:r>
    </w:p>
    <w:p>
      <w:r>
        <w:t>Dans les systèmes éducatifs actuels, les disciplines sont enseignées comme des blocs de contenus — mathématiques, sciences, histoire, économie, littérature — tandis que la capacité à juger si un énoncé tient, selon quels critères et sous quelles conditions il pourrait être invalidé, reste le plus souvent implicite. Cette inversion produit des savoirs descriptifs, parfois performants localement, mais structurellement fragiles.</w:t>
      </w:r>
    </w:p>
    <w:p>
      <w:r>
        <w:t>Enseigner la cohérence comme première matière revient à inverser cet ordre. Avant d’enseigner des contenus, il s’agit d’enseigner le critère même qui permet de distinguer description, interprétation et démonstration. Ce critère est indépendant des domaines : il s’applique aussi bien aux sciences exactes qu’aux sciences humaines, aux discours médiatiques, aux raisonnements économiques ou aux productions d’intelligences artificielles.</w:t>
      </w:r>
    </w:p>
    <w:p>
      <w:r>
        <w:t>Dans cette perspective, les disciplines ne disparaissent pas ; elles deviennent des terrains d’application d’un invariant préalable. Les mathématiques cessent d’être une manipulation symbolique sans ancrage critique ; les sciences cessent d’être perçues comme un corpus de vérités établies ; les sciences humaines cessent de se confondre avec des récits argumentés non falsifiables. Toutes sont réordonnées par un même principe de tenue.</w:t>
      </w:r>
    </w:p>
    <w:p>
      <w:r>
        <w:t>Cette approche éclaire également de nombreux échecs éducatifs contemporains. L’incapacité à distinguer ce qui tient de ce qui persuade, ce qui est démontré de ce qui est raconté, ne relève pas d’un déficit de connaissances, mais d’un déficit de cohérence explicite. Former à la cohérence, c’est former à la stabilité du jugement.</w:t>
      </w:r>
    </w:p>
    <w:p>
      <w:r>
        <w:t>Enfin, cette conséquence éducative concerne directement l’intelligence artificielle appliquée à l’éducation. Une IA éducative qui ne dispose pas de critères explicites de cohérence ne peut que reproduire et amplifier des récits plausibles. À l’inverse, une IA formée à exiger des métriques, des seuils et des conditions de falsification devient un outil de clarification plutôt que de persuasion.</w:t>
      </w:r>
    </w:p>
    <w:p>
      <w:r>
        <w:t>Ainsi, sans proposer de pédagogie particulière ni de curriculum, le présent document établit un point non négociable : toute éducation qui n’enseigne pas explicitement la cohérence en premier produit des savoirs qui peuvent fonctionner, mais qui ne tiennent pas durablement.</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DOI : 10.5281/zenodo.17935650  |  Institut IA Inc.  |  Cadre ZORAN — Cohérence phénoménale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