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IA ET COGNITION HUMAINE</w:t>
      </w:r>
    </w:p>
    <w:p>
      <w:pPr>
        <w:jc w:val="center"/>
      </w:pPr>
      <w:r>
        <w:t>Perte, transformation ou augmentation ?</w:t>
        <w:br/>
        <w:br/>
        <w:t>Une lecture par la cohérence des systèmes humain–IA</w:t>
      </w:r>
    </w:p>
    <w:p>
      <w:pPr>
        <w:jc w:val="center"/>
      </w:pPr>
      <w:r>
        <w:br/>
        <w:t>Frédéric Tabary</w:t>
        <w:br/>
        <w:t>ZORAN🦋CφΩ</w:t>
        <w:br/>
        <w:br/>
        <w:t>Document annexe — Prolongation du white paper</w:t>
        <w:br/>
        <w:t>DOI de référence : 10.5281/zenodo.18495748</w:t>
        <w:br/>
      </w:r>
    </w:p>
    <w:p>
      <w:r>
        <w:br w:type="page"/>
      </w:r>
    </w:p>
    <w:p>
      <w:pPr>
        <w:pStyle w:val="Heading1"/>
      </w:pPr>
      <w:r>
        <w:t>A.1. Position du problème</w:t>
      </w:r>
    </w:p>
    <w:p>
      <w:r>
        <w:t>Une thèse largement relayée affirme que l’usage de l’intelligence artificielle entraînerait une diminution de la cognition humaine. Cette thèse repose sur l’hypothèse implicite que la cognition serait un stock de capacités diminuant lorsqu’une partie est déléguée à un artefact. Le présent document propose une relecture structurelle de cette hypothèse à partir du cadre de la cohérence phénoménale.</w:t>
      </w:r>
    </w:p>
    <w:p>
      <w:pPr>
        <w:pStyle w:val="Heading1"/>
      </w:pPr>
      <w:r>
        <w:t>A.2. Ce que montrent réellement les études empiriques</w:t>
      </w:r>
    </w:p>
    <w:p>
      <w:r>
        <w:t>Les études concluant à une perte cognitive mesurent principalement des performances locales et ponctuelles : mémorisation brute, rappel immédiat, dépendance à l’outil. Elles évaluent rarement la tenue temporelle, la récupération après perturbation ou la capacité à reprendre une trajectoire sans l’outil.</w:t>
      </w:r>
    </w:p>
    <w:p>
      <w:pPr>
        <w:pStyle w:val="Heading1"/>
      </w:pPr>
      <w:r>
        <w:t>A.3. Limite structurelle de l’hypothèse de perte</w:t>
      </w:r>
    </w:p>
    <w:p>
      <w:r>
        <w:t>La perte cognitive supposée repose sur une confusion entre capacité formelle et accessibilité fonctionnelle. Une capacité peut exister sans être exploitable si la trajectoire cognitive ne tient pas dans le temps.</w:t>
      </w:r>
    </w:p>
    <w:p>
      <w:pPr>
        <w:pStyle w:val="Heading1"/>
      </w:pPr>
      <w:r>
        <w:t>A.4. Trois régimes d’interaction humain–IA</w:t>
      </w:r>
    </w:p>
    <w:p>
      <w:r>
        <w:t>1) Délégation incohérente : perte réelle par effondrement de trajectoire.</w:t>
        <w:br/>
        <w:t>2) Assistance incohérente : illusion de gain sans tenue.</w:t>
        <w:br/>
        <w:t>3) Co-cognition cohérente : augmentation d’accessibilité par stabilisation de trajectoire.</w:t>
      </w:r>
    </w:p>
    <w:p>
      <w:pPr>
        <w:pStyle w:val="Heading1"/>
      </w:pPr>
      <w:r>
        <w:t>A.5. Quand l’IA appauvrit réellement la cognition</w:t>
      </w:r>
    </w:p>
    <w:p>
      <w:r>
        <w:t>L’IA appauvrit la cognition lorsque la configuration humain–IA introduit incohérence, hallucinations, perte de contexte et impossibilité de récupération après perturbation.</w:t>
      </w:r>
    </w:p>
    <w:p>
      <w:pPr>
        <w:pStyle w:val="Heading1"/>
      </w:pPr>
      <w:r>
        <w:t>A.6. Quand l’IA augmente réellement l’accessibilité cognitive</w:t>
      </w:r>
    </w:p>
    <w:p>
      <w:r>
        <w:t>L’IA augmente l’accessibilité cognitive lorsqu’elle maintient la continuité, réduit le bruit, clarifie sans remplacer et permet à l’humain de reprendre la trajectoire à tout moment.</w:t>
      </w:r>
    </w:p>
    <w:p>
      <w:pPr>
        <w:pStyle w:val="Heading1"/>
      </w:pPr>
      <w:r>
        <w:t>A.7. Implication théorique majeure</w:t>
      </w:r>
    </w:p>
    <w:p>
      <w:r>
        <w:t>L’IA ne diminue ni n’augmente la cognition humaine en soi. Elle modifie le régime de cohérence du système humain–IA, exactement comme dans les cas du chant partagé ou de l’apprentissage dialogué.</w:t>
      </w:r>
    </w:p>
    <w:p>
      <w:pPr>
        <w:pStyle w:val="Heading1"/>
      </w:pPr>
      <w:r>
        <w:t>A.8. Conclusion</w:t>
      </w:r>
    </w:p>
    <w:p>
      <w:r>
        <w:t>Ce document montre que la question pertinente n’est pas celle de l’effort cognitif, mais celle de la tenue de la trajectoire. La cohérence phénoménale fournit un critère unificateur et falsifiable pour penser l’usage de l’IA.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