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14" w:color="C62828"/>
          <w:left w:val="single" w:sz="14" w:color="C62828"/>
          <w:bottom w:val="single" w:sz="14" w:color="C62828"/>
          <w:right w:val="single" w:sz="14" w:color="C62828"/>
          <w:insideH w:val="nil" w:sz="14" w:color="C62828"/>
          <w:insideV w:val="nil" w:sz="14" w:color="C62828"/>
        </w:tblBorders>
      </w:tblPr>
      <w:tblGrid>
        <w:gridCol w:w="10166"/>
      </w:tblGrid>
      <w:tr>
        <w:tc>
          <w:tcPr>
            <w:tcW w:type="dxa" w:w="10166"/>
            <w:vAlign w:val="center"/>
            <w:shd w:fill="FCE8E6"/>
            <w:tcMar>
              <w:top w:w="150" w:type="dxa"/>
              <w:start w:w="180" w:type="dxa"/>
              <w:bottom w:w="150" w:type="dxa"/>
              <w:end w:w="180" w:type="dxa"/>
            </w:tcMar>
          </w:tcPr>
          <w:p>
            <w:pPr>
              <w:spacing w:after="40"/>
              <w:jc w:val="center"/>
            </w:pPr>
            <w:r>
              <w:rPr>
                <w:b/>
                <w:color w:val="C62828"/>
                <w:sz w:val="22"/>
              </w:rPr>
              <w:t>VERROU NORMATIF — ÉQUATION DE RÉFÉRENCE</w:t>
            </w:r>
          </w:p>
          <w:p>
            <w:pPr>
              <w:spacing w:before="0" w:after="40"/>
              <w:jc w:val="center"/>
            </w:pPr>
            <w:r>
              <w:rPr>
                <w:b/>
                <w:color w:val="1F4E79"/>
                <w:sz w:val="32"/>
              </w:rPr>
              <w:t>S = (β × ΔΦ) / (1 + T + σ)</w:t>
            </w:r>
          </w:p>
          <w:p>
            <w:pPr>
              <w:spacing w:before="0" w:after="0"/>
              <w:jc w:val="center"/>
            </w:pPr>
            <w:r>
              <w:rPr>
                <w:color w:val="353535"/>
                <w:sz w:val="18"/>
              </w:rPr>
              <w:t>Le terme constant 1 au dénominateur est obligatoire : il évite un dénominateur nul lorsque T = 0 et σ = 0. β = direction ; ΔΦ = gain ou flux de cohérence ; T = tension / coût dissipatif ; σ = bruit. Ne jamais réutiliser la forme sans le 1.</w:t>
            </w:r>
          </w:p>
          <w:p>
            <w:pPr>
              <w:spacing w:before="140" w:after="40"/>
              <w:jc w:val="center"/>
            </w:pPr>
            <w:r>
              <w:rPr>
                <w:b/>
                <w:color w:val="C62828"/>
                <w:sz w:val="20"/>
              </w:rPr>
              <w:t>VERROU 2 — PRINCIPE DE DETTE MINIMALE</w:t>
            </w:r>
          </w:p>
          <w:p>
            <w:pPr>
              <w:spacing w:before="0" w:after="40"/>
              <w:jc w:val="center"/>
            </w:pPr>
            <w:r>
              <w:rPr>
                <w:b/>
                <w:color w:val="353535"/>
                <w:sz w:val="18"/>
              </w:rPr>
              <w:t>Remplacer A par B seulement si aucun cadre critique ne régresse et qu’un profil s’améliore, transition comprise ; sinon conserver les deux sur la frontière des choix.</w:t>
            </w:r>
          </w:p>
          <w:p>
            <w:pPr>
              <w:spacing w:before="0" w:after="0"/>
              <w:jc w:val="center"/>
            </w:pPr>
            <w:r>
              <w:rPr>
                <w:color w:val="1F4E79"/>
                <w:sz w:val="18"/>
              </w:rPr>
              <w:t>SIGNAL D’ARRÊT — Si T ou σ augmentent sans gain net démontré de β × ΔΦ, S baisse : arrêter, épurer et revenir au dernier état simple établi. Cette règle s’applique aussi au raisonnement de l’IA : “ramer” est un signal de problème, pas une preuve de profondeur.</w:t>
            </w:r>
          </w:p>
          <w:p>
            <w:pPr>
              <w:spacing w:before="100" w:after="0"/>
              <w:jc w:val="center"/>
            </w:pPr>
            <w:r>
              <w:rPr>
                <w:b/>
                <w:color w:val="C62828"/>
                <w:sz w:val="18"/>
              </w:rPr>
              <w:t>VERROU 3 — CADRES : local + voisins + premier englobant pour prédire ; chaîne causale jusqu’à la planète pour auditer. Chaque objet affecté porte son propre écart. Aucune moyenne ni copie de dette.</w:t>
            </w:r>
          </w:p>
          <w:p>
            <w:pPr>
              <w:spacing w:before="100" w:after="0"/>
              <w:jc w:val="center"/>
            </w:pPr>
            <w:r>
              <w:rPr>
                <w:b/>
                <w:color w:val="C62828"/>
                <w:sz w:val="17"/>
              </w:rPr>
              <w:t>VERROU 4 — FINESSE : seuls les cadres et proxys causalement discriminants et calibrés affinent ; leur nombre ou des décimales supplémentaires ne suffisent jamais et peuvent augmenter σ.</w:t>
            </w:r>
          </w:p>
          <w:p>
            <w:pPr>
              <w:spacing w:before="80" w:after="0"/>
              <w:jc w:val="center"/>
            </w:pPr>
            <w:r>
              <w:rPr>
                <w:b/>
                <w:color w:val="C62828"/>
                <w:sz w:val="16"/>
              </w:rPr>
              <w:t>VERROU 5 — TOUT ÉNONCÉ : impossible d’abord, puis un objet simple et cinq différents. Une route nouvelle n’est adoptée que par dominance multicadre robuste, dette de transition incluse.</w:t>
            </w:r>
          </w:p>
          <w:p>
            <w:pPr>
              <w:spacing w:before="80" w:after="0"/>
              <w:jc w:val="center"/>
            </w:pPr>
            <w:r>
              <w:rPr>
                <w:b/>
                <w:color w:val="C62828"/>
                <w:sz w:val="16"/>
              </w:rPr>
              <w:t>VERROU 6 — DETTE : conserver E⁰ pour la perte irréversible ; compenser l’écart résorbable vers la frontière F† encore atteignable. L’exergie borne aussi les futurs physiquement atteignables ; temps, exergie et puissance décrivent les chemins, jamais la dette entière.</w:t>
            </w:r>
          </w:p>
        </w:tc>
      </w:tr>
    </w:tbl>
    <w:p>
      <w:pPr>
        <w:spacing w:before="840"/>
        <w:jc w:val="center"/>
      </w:pPr>
      <w:r>
        <w:rPr>
          <w:b/>
          <w:color w:val="2E74B5"/>
          <w:sz w:val="66"/>
        </w:rPr>
        <w:t>ZORAN</w:t>
      </w:r>
    </w:p>
    <w:p>
      <w:pPr>
        <w:jc w:val="center"/>
      </w:pPr>
      <w:r>
        <w:rPr>
          <w:b/>
          <w:color w:val="1F4D78"/>
          <w:sz w:val="40"/>
        </w:rPr>
        <w:t>LETTRE DE MISSION — REPRISE TOTALE</w:t>
      </w:r>
    </w:p>
    <w:p>
      <w:pPr>
        <w:jc w:val="center"/>
      </w:pPr>
      <w:r>
        <w:rPr>
          <w:b/>
        </w:rPr>
        <w:t>Singularité • Relativité • Temps • Mémoire • Viabilité multicadres</w:t>
      </w:r>
    </w:p>
    <w:p>
      <w:pPr>
        <w:spacing w:after="440"/>
        <w:jc w:val="center"/>
      </w:pPr>
      <w:r>
        <w:t>Version de transfert consolidée — 6 août 2026</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232"/>
            <w:shd w:fill="E8EEF5"/>
            <w:tcMar>
              <w:top w:w="80" w:type="dxa"/>
              <w:start w:w="120" w:type="dxa"/>
              <w:bottom w:w="80" w:type="dxa"/>
              <w:end w:w="120" w:type="dxa"/>
            </w:tcMar>
            <w:vAlign w:val="center"/>
          </w:tcPr>
          <w:p>
            <w:pPr>
              <w:spacing w:after="0"/>
            </w:pPr>
            <w:r>
              <w:rPr>
                <w:b/>
                <w:color w:val="1F4D78"/>
                <w:sz w:val="17"/>
              </w:rPr>
              <w:t>Champ</w:t>
            </w:r>
          </w:p>
        </w:tc>
        <w:tc>
          <w:tcPr>
            <w:tcW w:type="dxa" w:w="7416"/>
            <w:shd w:fill="E8EEF5"/>
            <w:tcMar>
              <w:top w:w="80" w:type="dxa"/>
              <w:start w:w="120" w:type="dxa"/>
              <w:bottom w:w="80" w:type="dxa"/>
              <w:end w:w="120" w:type="dxa"/>
            </w:tcMar>
            <w:vAlign w:val="center"/>
          </w:tcPr>
          <w:p>
            <w:pPr>
              <w:spacing w:after="0"/>
            </w:pPr>
            <w:r>
              <w:rPr>
                <w:b/>
                <w:color w:val="1F4D78"/>
                <w:sz w:val="17"/>
              </w:rPr>
              <w:t>Valeur</w:t>
            </w:r>
          </w:p>
        </w:tc>
      </w:tr>
      <w:tr>
        <w:trPr>
          <w:cantSplit w:val="true"/>
        </w:trPr>
        <w:tc>
          <w:tcPr>
            <w:tcW w:type="dxa" w:w="2232"/>
            <w:tcMar>
              <w:top w:w="80" w:type="dxa"/>
              <w:start w:w="120" w:type="dxa"/>
              <w:bottom w:w="80" w:type="dxa"/>
              <w:end w:w="120" w:type="dxa"/>
            </w:tcMar>
            <w:vAlign w:val="top"/>
          </w:tcPr>
          <w:p>
            <w:pPr>
              <w:spacing w:after="0"/>
            </w:pPr>
            <w:r>
              <w:rPr>
                <w:sz w:val="17"/>
              </w:rPr>
              <w:t>Auteur</w:t>
            </w:r>
          </w:p>
        </w:tc>
        <w:tc>
          <w:tcPr>
            <w:tcW w:type="dxa" w:w="7416"/>
            <w:tcMar>
              <w:top w:w="80" w:type="dxa"/>
              <w:start w:w="120" w:type="dxa"/>
              <w:bottom w:w="80" w:type="dxa"/>
              <w:end w:w="120" w:type="dxa"/>
            </w:tcMar>
            <w:vAlign w:val="top"/>
          </w:tcPr>
          <w:p>
            <w:pPr>
              <w:spacing w:after="0"/>
            </w:pPr>
            <w:r>
              <w:rPr>
                <w:sz w:val="17"/>
              </w:rPr>
              <w:t>Frédéric Tabary — Institut IA Inc.</w:t>
            </w:r>
          </w:p>
        </w:tc>
      </w:tr>
      <w:tr>
        <w:trPr>
          <w:cantSplit w:val="true"/>
        </w:trPr>
        <w:tc>
          <w:tcPr>
            <w:tcW w:type="dxa" w:w="2232"/>
            <w:tcMar>
              <w:top w:w="80" w:type="dxa"/>
              <w:start w:w="120" w:type="dxa"/>
              <w:bottom w:w="80" w:type="dxa"/>
              <w:end w:w="120" w:type="dxa"/>
            </w:tcMar>
            <w:vAlign w:val="top"/>
          </w:tcPr>
          <w:p>
            <w:pPr>
              <w:spacing w:after="0"/>
            </w:pPr>
            <w:r>
              <w:rPr>
                <w:sz w:val="17"/>
              </w:rPr>
              <w:t>Fonction du document</w:t>
            </w:r>
          </w:p>
        </w:tc>
        <w:tc>
          <w:tcPr>
            <w:tcW w:type="dxa" w:w="7416"/>
            <w:tcMar>
              <w:top w:w="80" w:type="dxa"/>
              <w:start w:w="120" w:type="dxa"/>
              <w:bottom w:w="80" w:type="dxa"/>
              <w:end w:w="120" w:type="dxa"/>
            </w:tcMar>
            <w:vAlign w:val="top"/>
          </w:tcPr>
          <w:p>
            <w:pPr>
              <w:spacing w:after="0"/>
            </w:pPr>
            <w:r>
              <w:rPr>
                <w:sz w:val="17"/>
              </w:rPr>
              <w:t>Reprendre le travail sans rouvrir les acquis ni masquer les régressions</w:t>
            </w:r>
          </w:p>
        </w:tc>
      </w:tr>
      <w:tr>
        <w:trPr>
          <w:cantSplit w:val="true"/>
        </w:trPr>
        <w:tc>
          <w:tcPr>
            <w:tcW w:type="dxa" w:w="2232"/>
            <w:tcMar>
              <w:top w:w="80" w:type="dxa"/>
              <w:start w:w="120" w:type="dxa"/>
              <w:bottom w:w="80" w:type="dxa"/>
              <w:end w:w="120" w:type="dxa"/>
            </w:tcMar>
            <w:vAlign w:val="top"/>
          </w:tcPr>
          <w:p>
            <w:pPr>
              <w:spacing w:after="0"/>
            </w:pPr>
            <w:r>
              <w:rPr>
                <w:sz w:val="17"/>
              </w:rPr>
              <w:t>Statut central</w:t>
            </w:r>
          </w:p>
        </w:tc>
        <w:tc>
          <w:tcPr>
            <w:tcW w:type="dxa" w:w="7416"/>
            <w:tcMar>
              <w:top w:w="80" w:type="dxa"/>
              <w:start w:w="120" w:type="dxa"/>
              <w:bottom w:w="80" w:type="dxa"/>
              <w:end w:w="120" w:type="dxa"/>
            </w:tcMar>
            <w:vAlign w:val="top"/>
          </w:tcPr>
          <w:p>
            <w:pPr>
              <w:spacing w:after="0"/>
            </w:pPr>
            <w:r>
              <w:rPr>
                <w:sz w:val="17"/>
              </w:rPr>
              <w:t>Théorème de cadre conditionnel ; validation physique des axiomes : NON_MESURÉE</w:t>
            </w:r>
          </w:p>
        </w:tc>
      </w:tr>
      <w:tr>
        <w:trPr>
          <w:cantSplit w:val="true"/>
        </w:trPr>
        <w:tc>
          <w:tcPr>
            <w:tcW w:type="dxa" w:w="2232"/>
            <w:tcMar>
              <w:top w:w="80" w:type="dxa"/>
              <w:start w:w="120" w:type="dxa"/>
              <w:bottom w:w="80" w:type="dxa"/>
              <w:end w:w="120" w:type="dxa"/>
            </w:tcMar>
            <w:vAlign w:val="top"/>
          </w:tcPr>
          <w:p>
            <w:pPr>
              <w:spacing w:after="0"/>
            </w:pPr>
            <w:r>
              <w:rPr>
                <w:sz w:val="17"/>
              </w:rPr>
              <w:t>Règle de décision</w:t>
            </w:r>
          </w:p>
        </w:tc>
        <w:tc>
          <w:tcPr>
            <w:tcW w:type="dxa" w:w="7416"/>
            <w:tcMar>
              <w:top w:w="80" w:type="dxa"/>
              <w:start w:w="120" w:type="dxa"/>
              <w:bottom w:w="80" w:type="dxa"/>
              <w:end w:w="120" w:type="dxa"/>
            </w:tcMar>
            <w:vAlign w:val="top"/>
          </w:tcPr>
          <w:p>
            <w:pPr>
              <w:spacing w:after="0"/>
            </w:pPr>
            <w:r>
              <w:rPr>
                <w:sz w:val="17"/>
              </w:rPr>
              <w:t>Aucune moyenne globale ne compense la perte d’un invariant critique local</w:t>
            </w:r>
          </w:p>
        </w:tc>
      </w:tr>
      <w:tr>
        <w:trPr>
          <w:cantSplit w:val="true"/>
        </w:trPr>
        <w:tc>
          <w:tcPr>
            <w:tcW w:type="dxa" w:w="2232"/>
            <w:tcMar>
              <w:top w:w="80" w:type="dxa"/>
              <w:start w:w="120" w:type="dxa"/>
              <w:bottom w:w="80" w:type="dxa"/>
              <w:end w:w="120" w:type="dxa"/>
            </w:tcMar>
            <w:vAlign w:val="top"/>
          </w:tcPr>
          <w:p>
            <w:pPr>
              <w:spacing w:after="0"/>
            </w:pPr>
            <w:r>
              <w:rPr>
                <w:sz w:val="17"/>
              </w:rPr>
              <w:t>Équation affichée</w:t>
            </w:r>
          </w:p>
        </w:tc>
        <w:tc>
          <w:tcPr>
            <w:tcW w:type="dxa" w:w="7416"/>
            <w:tcMar>
              <w:top w:w="80" w:type="dxa"/>
              <w:start w:w="120" w:type="dxa"/>
              <w:bottom w:w="80" w:type="dxa"/>
              <w:end w:w="120" w:type="dxa"/>
            </w:tcMar>
            <w:vAlign w:val="top"/>
          </w:tcPr>
          <w:p>
            <w:pPr>
              <w:spacing w:after="0"/>
            </w:pPr>
            <w:r>
              <w:rPr>
                <w:sz w:val="17"/>
              </w:rPr>
              <w:t>S = (β × ΔΦ) / (1 + T + σ) ; ici S = NON_MESURÉ</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10166"/>
            <w:shd w:fill="FFF2CC"/>
            <w:tcMar>
              <w:top w:w="120" w:type="dxa"/>
              <w:start w:w="160" w:type="dxa"/>
              <w:bottom w:w="120" w:type="dxa"/>
              <w:end w:w="160" w:type="dxa"/>
            </w:tcMar>
          </w:tcPr>
          <w:p>
            <w:pPr>
              <w:spacing w:after="60"/>
            </w:pPr>
            <w:r>
              <w:rPr>
                <w:b/>
                <w:color w:val="1F4D78"/>
              </w:rPr>
              <w:t>INSTRUCTION À LA NOUVELLE SESSION</w:t>
            </w:r>
          </w:p>
          <w:p>
            <w:pPr>
              <w:spacing w:after="0"/>
            </w:pPr>
            <w:r>
              <w:t>Lire intégralement. Préserver les verrous. Distinguer faits, axiomes, hypothèses, mesures et NON_MESURÉ. Toute correction conserve les acquis, y compris les FAIL.</w:t>
            </w:r>
          </w:p>
        </w:tc>
      </w:tr>
    </w:tbl>
    <w:p>
      <w:pPr>
        <w:spacing w:after="0"/>
      </w:pPr>
    </w:p>
    <w:p>
      <w:pPr>
        <w:pStyle w:val="Heading1"/>
      </w:pPr>
      <w:r>
        <w:t>0. Résultat immédiat sur les cadres</w:t>
      </w:r>
    </w:p>
    <w:tbl>
      <w:tblPr>
        <w:tblW w:type="auto" w:w="0"/>
        <w:jc w:val="center"/>
        <w:tblLayout w:type="fixed"/>
        <w:tblLook w:firstColumn="1" w:firstRow="1" w:lastColumn="0" w:lastRow="0" w:noHBand="0" w:noVBand="1" w:val="04A0"/>
      </w:tblPr>
      <w:tblGrid>
        <w:gridCol w:w="9864"/>
      </w:tblGrid>
      <w:tr>
        <w:tc>
          <w:tcPr>
            <w:tcW w:type="dxa" w:w="10166"/>
            <w:shd w:fill="D9EAD3"/>
            <w:tcMar>
              <w:top w:w="120" w:type="dxa"/>
              <w:start w:w="160" w:type="dxa"/>
              <w:bottom w:w="120" w:type="dxa"/>
              <w:end w:w="160" w:type="dxa"/>
            </w:tcMar>
          </w:tcPr>
          <w:p>
            <w:pPr>
              <w:spacing w:after="60"/>
            </w:pPr>
            <w:r>
              <w:rPr>
                <w:b/>
                <w:color w:val="1F4D78"/>
              </w:rPr>
              <w:t>VERDICT</w:t>
            </w:r>
          </w:p>
          <w:p>
            <w:pPr>
              <w:spacing w:after="0"/>
            </w:pPr>
            <w:r>
              <w:t>Oui, ajouter des niveaux intermédiaires est pertinent. Mais tous les ensembles proposés ne sont pas automatiquement des cadres autonomes. Un cadre doit posséder une frontière, une fonction, des variables, des relations causales et des invariants propres. Les billes opposées sont d’abord un sous-graphe antipodal du roulement ; elles ne deviennent un cadre que si une hypothèse causale distincte et instrumentable le justifie.</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512"/>
            <w:shd w:fill="E8EEF5"/>
            <w:tcMar>
              <w:top w:w="80" w:type="dxa"/>
              <w:start w:w="120" w:type="dxa"/>
              <w:bottom w:w="80" w:type="dxa"/>
              <w:end w:w="120" w:type="dxa"/>
            </w:tcMar>
            <w:vAlign w:val="center"/>
          </w:tcPr>
          <w:p>
            <w:pPr>
              <w:spacing w:after="0"/>
            </w:pPr>
            <w:r>
              <w:rPr>
                <w:b/>
                <w:color w:val="1F4D78"/>
                <w:sz w:val="16"/>
              </w:rPr>
              <w:t>Objet</w:t>
            </w:r>
          </w:p>
        </w:tc>
        <w:tc>
          <w:tcPr>
            <w:tcW w:type="dxa" w:w="4680"/>
            <w:shd w:fill="E8EEF5"/>
            <w:tcMar>
              <w:top w:w="80" w:type="dxa"/>
              <w:start w:w="120" w:type="dxa"/>
              <w:bottom w:w="80" w:type="dxa"/>
              <w:end w:w="120" w:type="dxa"/>
            </w:tcMar>
            <w:vAlign w:val="center"/>
          </w:tcPr>
          <w:p>
            <w:pPr>
              <w:spacing w:after="0"/>
            </w:pPr>
            <w:r>
              <w:rPr>
                <w:b/>
                <w:color w:val="1F4D78"/>
                <w:sz w:val="16"/>
              </w:rPr>
              <w:t>Hiérarchie retenue</w:t>
            </w:r>
          </w:p>
        </w:tc>
        <w:tc>
          <w:tcPr>
            <w:tcW w:type="dxa" w:w="3456"/>
            <w:shd w:fill="E8EEF5"/>
            <w:tcMar>
              <w:top w:w="80" w:type="dxa"/>
              <w:start w:w="120" w:type="dxa"/>
              <w:bottom w:w="80" w:type="dxa"/>
              <w:end w:w="120" w:type="dxa"/>
            </w:tcMar>
            <w:vAlign w:val="center"/>
          </w:tcPr>
          <w:p>
            <w:pPr>
              <w:spacing w:after="0"/>
            </w:pPr>
            <w:r>
              <w:rPr>
                <w:b/>
                <w:color w:val="1F4D78"/>
                <w:sz w:val="16"/>
              </w:rPr>
              <w:t>Point de vigilance</w:t>
            </w:r>
          </w:p>
        </w:tc>
      </w:tr>
      <w:tr>
        <w:trPr>
          <w:cantSplit w:val="true"/>
        </w:trPr>
        <w:tc>
          <w:tcPr>
            <w:tcW w:type="dxa" w:w="1512"/>
            <w:tcMar>
              <w:top w:w="80" w:type="dxa"/>
              <w:start w:w="120" w:type="dxa"/>
              <w:bottom w:w="80" w:type="dxa"/>
              <w:end w:w="120" w:type="dxa"/>
            </w:tcMar>
            <w:vAlign w:val="top"/>
          </w:tcPr>
          <w:p>
            <w:pPr>
              <w:spacing w:after="0"/>
            </w:pPr>
            <w:r>
              <w:rPr>
                <w:sz w:val="16"/>
              </w:rPr>
              <w:t>Roulement</w:t>
            </w:r>
          </w:p>
        </w:tc>
        <w:tc>
          <w:tcPr>
            <w:tcW w:type="dxa" w:w="4680"/>
            <w:tcMar>
              <w:top w:w="80" w:type="dxa"/>
              <w:start w:w="120" w:type="dxa"/>
              <w:bottom w:w="80" w:type="dxa"/>
              <w:end w:w="120" w:type="dxa"/>
            </w:tcMar>
            <w:vAlign w:val="top"/>
          </w:tcPr>
          <w:p>
            <w:pPr>
              <w:spacing w:after="0"/>
            </w:pPr>
            <w:r>
              <w:rPr>
                <w:sz w:val="16"/>
              </w:rPr>
              <w:t>Bille → voisinage de contact → roulement complet → machine/charge/commande → planète</w:t>
            </w:r>
          </w:p>
        </w:tc>
        <w:tc>
          <w:tcPr>
            <w:tcW w:type="dxa" w:w="3456"/>
            <w:tcMar>
              <w:top w:w="80" w:type="dxa"/>
              <w:start w:w="120" w:type="dxa"/>
              <w:bottom w:w="80" w:type="dxa"/>
              <w:end w:w="120" w:type="dxa"/>
            </w:tcMar>
            <w:vAlign w:val="top"/>
          </w:tcPr>
          <w:p>
            <w:pPr>
              <w:spacing w:after="0"/>
            </w:pPr>
            <w:r>
              <w:rPr>
                <w:sz w:val="16"/>
              </w:rPr>
              <w:t>Billes opposées = relation diagnostique dans le roulement, sauf preuve d’autonomie causale</w:t>
            </w:r>
          </w:p>
        </w:tc>
      </w:tr>
      <w:tr>
        <w:trPr>
          <w:cantSplit w:val="true"/>
        </w:trPr>
        <w:tc>
          <w:tcPr>
            <w:tcW w:type="dxa" w:w="1512"/>
            <w:tcMar>
              <w:top w:w="80" w:type="dxa"/>
              <w:start w:w="120" w:type="dxa"/>
              <w:bottom w:w="80" w:type="dxa"/>
              <w:end w:w="120" w:type="dxa"/>
            </w:tcMar>
            <w:vAlign w:val="top"/>
          </w:tcPr>
          <w:p>
            <w:pPr>
              <w:spacing w:after="0"/>
            </w:pPr>
            <w:r>
              <w:rPr>
                <w:sz w:val="16"/>
              </w:rPr>
              <w:t>Cellule batterie</w:t>
            </w:r>
          </w:p>
        </w:tc>
        <w:tc>
          <w:tcPr>
            <w:tcW w:type="dxa" w:w="4680"/>
            <w:tcMar>
              <w:top w:w="80" w:type="dxa"/>
              <w:start w:w="120" w:type="dxa"/>
              <w:bottom w:w="80" w:type="dxa"/>
              <w:end w:w="120" w:type="dxa"/>
            </w:tcMar>
            <w:vAlign w:val="top"/>
          </w:tcPr>
          <w:p>
            <w:pPr>
              <w:spacing w:after="0"/>
            </w:pPr>
            <w:r>
              <w:rPr>
                <w:sz w:val="16"/>
              </w:rPr>
              <w:t>Cellule → cellules voisines → pack complet → BMS/régulateur + chargeur/usage → planète</w:t>
            </w:r>
          </w:p>
        </w:tc>
        <w:tc>
          <w:tcPr>
            <w:tcW w:type="dxa" w:w="3456"/>
            <w:tcMar>
              <w:top w:w="80" w:type="dxa"/>
              <w:start w:w="120" w:type="dxa"/>
              <w:bottom w:w="80" w:type="dxa"/>
              <w:end w:w="120" w:type="dxa"/>
            </w:tcMar>
            <w:vAlign w:val="top"/>
          </w:tcPr>
          <w:p>
            <w:pPr>
              <w:spacing w:after="0"/>
            </w:pPr>
            <w:r>
              <w:rPr>
                <w:sz w:val="16"/>
              </w:rPr>
              <w:t>Le régulateur est une boucle causale, pas seulement un contenant plus grand</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10166"/>
            <w:shd w:fill="F4F8FC"/>
            <w:tcMar>
              <w:top w:w="120" w:type="dxa"/>
              <w:start w:w="160" w:type="dxa"/>
              <w:bottom w:w="120" w:type="dxa"/>
              <w:end w:w="160" w:type="dxa"/>
            </w:tcMar>
          </w:tcPr>
          <w:p>
            <w:pPr>
              <w:spacing w:after="60"/>
            </w:pPr>
            <w:r>
              <w:rPr>
                <w:b/>
                <w:color w:val="1F4D78"/>
              </w:rPr>
              <w:t>RÈGLE DES DEUX CADRES PRÉSERVÉE</w:t>
            </w:r>
          </w:p>
          <w:p>
            <w:pPr>
              <w:spacing w:after="0"/>
            </w:pPr>
            <w:r>
              <w:t>Les deux cadres obligatoires sont : local et premier supérieur relationnel englobant des objets voisins. Les cadres plus hauts, jusqu’à la planète, ne s’ajoutent que si la chaîne causale les atteint ; aucune moyenne ni double comptage.</w:t>
            </w:r>
          </w:p>
        </w:tc>
      </w:tr>
    </w:tbl>
    <w:p>
      <w:pPr>
        <w:spacing w:after="0"/>
      </w:pPr>
    </w:p>
    <w:p>
      <w:pPr>
        <w:pStyle w:val="Heading1"/>
      </w:pPr>
      <w:r>
        <w:t>1. Corpus prioritaire et exclusions</w:t>
      </w:r>
    </w:p>
    <w:p>
      <w:r>
        <w:t>Consulter les sources suivantes avant toute conclusion sur ZORAN. Les versions historiques restent des archives ; elles ne priment pas sur les verrouillages du présent document.</w:t>
      </w:r>
    </w:p>
    <w:p>
      <w:pPr>
        <w:spacing w:after="40"/>
      </w:pPr>
      <w:r>
        <w:rPr>
          <w:b/>
        </w:rPr>
        <w:t xml:space="preserve">Z1 — Loi de cohérence phénoménale — </w:t>
      </w:r>
      <w:hyperlink r:id="rId11">
        <w:r>
          <w:rPr>
            <w:color w:val="2E74B5"/>
            <w:u w:val="single"/>
          </w:rPr>
          <w:t>https://zenodo.org/records/18516353</w:t>
        </w:r>
      </w:hyperlink>
    </w:p>
    <w:p>
      <w:pPr>
        <w:spacing w:after="40"/>
      </w:pPr>
      <w:r>
        <w:rPr>
          <w:b/>
        </w:rPr>
        <w:t xml:space="preserve">Démonstration complète par applications — </w:t>
      </w:r>
      <w:hyperlink r:id="rId12">
        <w:r>
          <w:rPr>
            <w:color w:val="2E74B5"/>
            <w:u w:val="single"/>
          </w:rPr>
          <w:t>https://zenodo.org/records/18526755</w:t>
        </w:r>
      </w:hyperlink>
    </w:p>
    <w:p>
      <w:pPr>
        <w:spacing w:after="40"/>
      </w:pPr>
      <w:r>
        <w:rPr>
          <w:b/>
        </w:rPr>
        <w:t xml:space="preserve">Falsification assistée par LLM — </w:t>
      </w:r>
      <w:hyperlink r:id="rId13">
        <w:r>
          <w:rPr>
            <w:color w:val="2E74B5"/>
            <w:u w:val="single"/>
          </w:rPr>
          <w:t>https://zenodo.org/records/18497598</w:t>
        </w:r>
      </w:hyperlink>
    </w:p>
    <w:p>
      <w:pPr>
        <w:spacing w:after="40"/>
      </w:pPr>
      <w:r>
        <w:rPr>
          <w:b/>
        </w:rPr>
        <w:t xml:space="preserve">Z‑TEMPS historique — </w:t>
      </w:r>
      <w:hyperlink r:id="rId14">
        <w:r>
          <w:rPr>
            <w:color w:val="2E74B5"/>
            <w:u w:val="single"/>
          </w:rPr>
          <w:t>https://zenodo.org/records/17589556</w:t>
        </w:r>
      </w:hyperlink>
    </w:p>
    <w:p>
      <w:pPr>
        <w:spacing w:after="40"/>
      </w:pPr>
      <w:r>
        <w:rPr>
          <w:b/>
        </w:rPr>
        <w:t xml:space="preserve">Big Bang / cohérence — </w:t>
      </w:r>
      <w:hyperlink r:id="rId15">
        <w:r>
          <w:rPr>
            <w:color w:val="2E74B5"/>
            <w:u w:val="single"/>
          </w:rPr>
          <w:t>https://zenodo.org/records/17949089</w:t>
        </w:r>
      </w:hyperlink>
    </w:p>
    <w:p>
      <w:pPr>
        <w:spacing w:after="40"/>
      </w:pPr>
      <w:r>
        <w:rPr>
          <w:b/>
        </w:rPr>
        <w:t xml:space="preserve">Concentration maximale / singularités — </w:t>
      </w:r>
      <w:hyperlink r:id="rId16">
        <w:r>
          <w:rPr>
            <w:color w:val="2E74B5"/>
            <w:u w:val="single"/>
          </w:rPr>
          <w:t>https://zenodo.org/records/18478936</w:t>
        </w:r>
      </w:hyperlink>
    </w:p>
    <w:p>
      <w:pPr>
        <w:spacing w:after="40"/>
      </w:pPr>
      <w:r>
        <w:rPr>
          <w:b/>
        </w:rPr>
        <w:t xml:space="preserve">Portail public — </w:t>
      </w:r>
      <w:hyperlink r:id="rId17">
        <w:r>
          <w:rPr>
            <w:color w:val="2E74B5"/>
            <w:u w:val="single"/>
          </w:rPr>
          <w:t>https://zoran-agi-coherence-labs.github.io/zoran-corpus/</w:t>
        </w:r>
      </w:hyperlink>
    </w:p>
    <w:p>
      <w:pPr>
        <w:pStyle w:val="ListBullet"/>
        <w:spacing w:after="40"/>
      </w:pPr>
      <w:r>
        <w:t>Document de reprise immédiate : Note_Scellee_Preuve_Minimale_Sigma_v1.pdf, 5 août 2026.</w:t>
      </w:r>
    </w:p>
    <w:p>
      <w:pPr>
        <w:pStyle w:val="ListBullet"/>
        <w:spacing w:after="40"/>
      </w:pPr>
      <w:r>
        <w:t>Ne pas réintroduire la relativité vivante 12D, l’intention comme dimension physique, la gravité comme maximisation de cohérence ou d’anciennes équations de champ ZORAN.</w:t>
      </w:r>
    </w:p>
    <w:p>
      <w:pPr>
        <w:pStyle w:val="ListBullet"/>
        <w:spacing w:after="40"/>
      </w:pPr>
      <w:r>
        <w:t>CMCI et Kotawala sont hors sujet : leurs objets scientifiques sont différents.</w:t>
      </w:r>
    </w:p>
    <w:p>
      <w:pPr>
        <w:pStyle w:val="Heading1"/>
      </w:pPr>
      <w:r>
        <w:t>2. Discipline épistémique obligatoire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800"/>
            <w:shd w:fill="E8EEF5"/>
            <w:tcMar>
              <w:top w:w="80" w:type="dxa"/>
              <w:start w:w="120" w:type="dxa"/>
              <w:bottom w:w="80" w:type="dxa"/>
              <w:end w:w="120" w:type="dxa"/>
            </w:tcMar>
            <w:vAlign w:val="center"/>
          </w:tcPr>
          <w:p>
            <w:pPr>
              <w:spacing w:after="0"/>
            </w:pPr>
            <w:r>
              <w:rPr>
                <w:b/>
                <w:color w:val="1F4D78"/>
                <w:sz w:val="16"/>
              </w:rPr>
              <w:t>Classe</w:t>
            </w:r>
          </w:p>
        </w:tc>
        <w:tc>
          <w:tcPr>
            <w:tcW w:type="dxa" w:w="3744"/>
            <w:shd w:fill="E8EEF5"/>
            <w:tcMar>
              <w:top w:w="80" w:type="dxa"/>
              <w:start w:w="120" w:type="dxa"/>
              <w:bottom w:w="80" w:type="dxa"/>
              <w:end w:w="120" w:type="dxa"/>
            </w:tcMar>
            <w:vAlign w:val="center"/>
          </w:tcPr>
          <w:p>
            <w:pPr>
              <w:spacing w:after="0"/>
            </w:pPr>
            <w:r>
              <w:rPr>
                <w:b/>
                <w:color w:val="1F4D78"/>
                <w:sz w:val="16"/>
              </w:rPr>
              <w:t>Définition</w:t>
            </w:r>
          </w:p>
        </w:tc>
        <w:tc>
          <w:tcPr>
            <w:tcW w:type="dxa" w:w="4104"/>
            <w:shd w:fill="E8EEF5"/>
            <w:tcMar>
              <w:top w:w="80" w:type="dxa"/>
              <w:start w:w="120" w:type="dxa"/>
              <w:bottom w:w="80" w:type="dxa"/>
              <w:end w:w="120" w:type="dxa"/>
            </w:tcMar>
            <w:vAlign w:val="center"/>
          </w:tcPr>
          <w:p>
            <w:pPr>
              <w:spacing w:after="0"/>
            </w:pPr>
            <w:r>
              <w:rPr>
                <w:b/>
                <w:color w:val="1F4D78"/>
                <w:sz w:val="16"/>
              </w:rPr>
              <w:t>Exemple actuel</w:t>
            </w:r>
          </w:p>
        </w:tc>
      </w:tr>
      <w:tr>
        <w:trPr>
          <w:cantSplit w:val="true"/>
        </w:trPr>
        <w:tc>
          <w:tcPr>
            <w:tcW w:type="dxa" w:w="1800"/>
            <w:tcMar>
              <w:top w:w="80" w:type="dxa"/>
              <w:start w:w="120" w:type="dxa"/>
              <w:bottom w:w="80" w:type="dxa"/>
              <w:end w:w="120" w:type="dxa"/>
            </w:tcMar>
            <w:vAlign w:val="top"/>
          </w:tcPr>
          <w:p>
            <w:pPr>
              <w:spacing w:after="0"/>
            </w:pPr>
            <w:r>
              <w:rPr>
                <w:sz w:val="16"/>
              </w:rPr>
              <w:t>FAIT IMPORTÉ</w:t>
            </w:r>
          </w:p>
        </w:tc>
        <w:tc>
          <w:tcPr>
            <w:tcW w:type="dxa" w:w="3744"/>
            <w:tcMar>
              <w:top w:w="80" w:type="dxa"/>
              <w:start w:w="120" w:type="dxa"/>
              <w:bottom w:w="80" w:type="dxa"/>
              <w:end w:w="120" w:type="dxa"/>
            </w:tcMar>
            <w:vAlign w:val="top"/>
          </w:tcPr>
          <w:p>
            <w:pPr>
              <w:spacing w:after="0"/>
            </w:pPr>
            <w:r>
              <w:rPr>
                <w:sz w:val="16"/>
              </w:rPr>
              <w:t>Résultat externe utilisé sans être redémontré par ZORAN</w:t>
            </w:r>
          </w:p>
        </w:tc>
        <w:tc>
          <w:tcPr>
            <w:tcW w:type="dxa" w:w="4104"/>
            <w:tcMar>
              <w:top w:w="80" w:type="dxa"/>
              <w:start w:w="120" w:type="dxa"/>
              <w:bottom w:w="80" w:type="dxa"/>
              <w:end w:w="120" w:type="dxa"/>
            </w:tcMar>
            <w:vAlign w:val="top"/>
          </w:tcPr>
          <w:p>
            <w:pPr>
              <w:spacing w:after="0"/>
            </w:pPr>
            <w:r>
              <w:rPr>
                <w:sz w:val="16"/>
              </w:rPr>
              <w:t>Singularité relativiste décrite par incomplétude géodésique ; endpoint non régulier</w:t>
            </w:r>
          </w:p>
        </w:tc>
      </w:tr>
      <w:tr>
        <w:trPr>
          <w:cantSplit w:val="true"/>
        </w:trPr>
        <w:tc>
          <w:tcPr>
            <w:tcW w:type="dxa" w:w="1800"/>
            <w:tcMar>
              <w:top w:w="80" w:type="dxa"/>
              <w:start w:w="120" w:type="dxa"/>
              <w:bottom w:w="80" w:type="dxa"/>
              <w:end w:w="120" w:type="dxa"/>
            </w:tcMar>
            <w:vAlign w:val="top"/>
          </w:tcPr>
          <w:p>
            <w:pPr>
              <w:spacing w:after="0"/>
            </w:pPr>
            <w:r>
              <w:rPr>
                <w:sz w:val="16"/>
              </w:rPr>
              <w:t>AXIOME ZORAN</w:t>
            </w:r>
          </w:p>
        </w:tc>
        <w:tc>
          <w:tcPr>
            <w:tcW w:type="dxa" w:w="3744"/>
            <w:tcMar>
              <w:top w:w="80" w:type="dxa"/>
              <w:start w:w="120" w:type="dxa"/>
              <w:bottom w:w="80" w:type="dxa"/>
              <w:end w:w="120" w:type="dxa"/>
            </w:tcMar>
            <w:vAlign w:val="top"/>
          </w:tcPr>
          <w:p>
            <w:pPr>
              <w:spacing w:after="0"/>
            </w:pPr>
            <w:r>
              <w:rPr>
                <w:sz w:val="16"/>
              </w:rPr>
              <w:t>Choix fondateur du cadre</w:t>
            </w:r>
          </w:p>
        </w:tc>
        <w:tc>
          <w:tcPr>
            <w:tcW w:type="dxa" w:w="4104"/>
            <w:tcMar>
              <w:top w:w="80" w:type="dxa"/>
              <w:start w:w="120" w:type="dxa"/>
              <w:bottom w:w="80" w:type="dxa"/>
              <w:end w:w="120" w:type="dxa"/>
            </w:tcMar>
            <w:vAlign w:val="top"/>
          </w:tcPr>
          <w:p>
            <w:pPr>
              <w:spacing w:after="0"/>
            </w:pPr>
            <w:r>
              <w:rPr>
                <w:sz w:val="16"/>
              </w:rPr>
              <w:t>A1 réalité relationnelle ; A3 borne ; A4 minimum atteint</w:t>
            </w:r>
          </w:p>
        </w:tc>
      </w:tr>
      <w:tr>
        <w:trPr>
          <w:cantSplit w:val="true"/>
        </w:trPr>
        <w:tc>
          <w:tcPr>
            <w:tcW w:type="dxa" w:w="1800"/>
            <w:tcMar>
              <w:top w:w="80" w:type="dxa"/>
              <w:start w:w="120" w:type="dxa"/>
              <w:bottom w:w="80" w:type="dxa"/>
              <w:end w:w="120" w:type="dxa"/>
            </w:tcMar>
            <w:vAlign w:val="top"/>
          </w:tcPr>
          <w:p>
            <w:pPr>
              <w:spacing w:after="0"/>
            </w:pPr>
            <w:r>
              <w:rPr>
                <w:sz w:val="16"/>
              </w:rPr>
              <w:t>THÉORÈME INTERNE</w:t>
            </w:r>
          </w:p>
        </w:tc>
        <w:tc>
          <w:tcPr>
            <w:tcW w:type="dxa" w:w="3744"/>
            <w:tcMar>
              <w:top w:w="80" w:type="dxa"/>
              <w:start w:w="120" w:type="dxa"/>
              <w:bottom w:w="80" w:type="dxa"/>
              <w:end w:w="120" w:type="dxa"/>
            </w:tcMar>
            <w:vAlign w:val="top"/>
          </w:tcPr>
          <w:p>
            <w:pPr>
              <w:spacing w:after="0"/>
            </w:pPr>
            <w:r>
              <w:rPr>
                <w:sz w:val="16"/>
              </w:rPr>
              <w:t>Conclusion logique sous axiomes explicites</w:t>
            </w:r>
          </w:p>
        </w:tc>
        <w:tc>
          <w:tcPr>
            <w:tcW w:type="dxa" w:w="4104"/>
            <w:tcMar>
              <w:top w:w="80" w:type="dxa"/>
              <w:start w:w="120" w:type="dxa"/>
              <w:bottom w:w="80" w:type="dxa"/>
              <w:end w:w="120" w:type="dxa"/>
            </w:tcMar>
            <w:vAlign w:val="top"/>
          </w:tcPr>
          <w:p>
            <w:pPr>
              <w:spacing w:after="0"/>
            </w:pPr>
            <w:r>
              <w:rPr>
                <w:sz w:val="16"/>
              </w:rPr>
              <w:t>Σ ∉ Ω_réel et Σ ∉ Dom(Φ_C)</w:t>
            </w:r>
          </w:p>
        </w:tc>
      </w:tr>
      <w:tr>
        <w:trPr>
          <w:cantSplit w:val="true"/>
        </w:trPr>
        <w:tc>
          <w:tcPr>
            <w:tcW w:type="dxa" w:w="1800"/>
            <w:tcMar>
              <w:top w:w="80" w:type="dxa"/>
              <w:start w:w="120" w:type="dxa"/>
              <w:bottom w:w="80" w:type="dxa"/>
              <w:end w:w="120" w:type="dxa"/>
            </w:tcMar>
            <w:vAlign w:val="top"/>
          </w:tcPr>
          <w:p>
            <w:pPr>
              <w:spacing w:after="0"/>
            </w:pPr>
            <w:r>
              <w:rPr>
                <w:sz w:val="16"/>
              </w:rPr>
              <w:t>HYPOTHÈSE PHYSIQUE</w:t>
            </w:r>
          </w:p>
        </w:tc>
        <w:tc>
          <w:tcPr>
            <w:tcW w:type="dxa" w:w="3744"/>
            <w:tcMar>
              <w:top w:w="80" w:type="dxa"/>
              <w:start w:w="120" w:type="dxa"/>
              <w:bottom w:w="80" w:type="dxa"/>
              <w:end w:w="120" w:type="dxa"/>
            </w:tcMar>
            <w:vAlign w:val="top"/>
          </w:tcPr>
          <w:p>
            <w:pPr>
              <w:spacing w:after="0"/>
            </w:pPr>
            <w:r>
              <w:rPr>
                <w:sz w:val="16"/>
              </w:rPr>
              <w:t>Proposition exposée à l’expérience</w:t>
            </w:r>
          </w:p>
        </w:tc>
        <w:tc>
          <w:tcPr>
            <w:tcW w:type="dxa" w:w="4104"/>
            <w:tcMar>
              <w:top w:w="80" w:type="dxa"/>
              <w:start w:w="120" w:type="dxa"/>
              <w:bottom w:w="80" w:type="dxa"/>
              <w:end w:w="120" w:type="dxa"/>
            </w:tcMar>
            <w:vAlign w:val="top"/>
          </w:tcPr>
          <w:p>
            <w:pPr>
              <w:spacing w:after="0"/>
            </w:pPr>
            <w:r>
              <w:rPr>
                <w:sz w:val="16"/>
              </w:rPr>
              <w:t>La provenance améliore le premier passage à état présent égal</w:t>
            </w:r>
          </w:p>
        </w:tc>
      </w:tr>
      <w:tr>
        <w:trPr>
          <w:cantSplit w:val="true"/>
        </w:trPr>
        <w:tc>
          <w:tcPr>
            <w:tcW w:type="dxa" w:w="1800"/>
            <w:tcMar>
              <w:top w:w="80" w:type="dxa"/>
              <w:start w:w="120" w:type="dxa"/>
              <w:bottom w:w="80" w:type="dxa"/>
              <w:end w:w="120" w:type="dxa"/>
            </w:tcMar>
            <w:vAlign w:val="top"/>
          </w:tcPr>
          <w:p>
            <w:pPr>
              <w:spacing w:after="0"/>
            </w:pPr>
            <w:r>
              <w:rPr>
                <w:sz w:val="16"/>
              </w:rPr>
              <w:t>MESURÉ</w:t>
            </w:r>
          </w:p>
        </w:tc>
        <w:tc>
          <w:tcPr>
            <w:tcW w:type="dxa" w:w="3744"/>
            <w:tcMar>
              <w:top w:w="80" w:type="dxa"/>
              <w:start w:w="120" w:type="dxa"/>
              <w:bottom w:w="80" w:type="dxa"/>
              <w:end w:w="120" w:type="dxa"/>
            </w:tcMar>
            <w:vAlign w:val="top"/>
          </w:tcPr>
          <w:p>
            <w:pPr>
              <w:spacing w:after="0"/>
            </w:pPr>
            <w:r>
              <w:rPr>
                <w:sz w:val="16"/>
              </w:rPr>
              <w:t>Calcul ou observation effectivement exécuté</w:t>
            </w:r>
          </w:p>
        </w:tc>
        <w:tc>
          <w:tcPr>
            <w:tcW w:type="dxa" w:w="4104"/>
            <w:tcMar>
              <w:top w:w="80" w:type="dxa"/>
              <w:start w:w="120" w:type="dxa"/>
              <w:bottom w:w="80" w:type="dxa"/>
              <w:end w:w="120" w:type="dxa"/>
            </w:tcMar>
            <w:vAlign w:val="top"/>
          </w:tcPr>
          <w:p>
            <w:pPr>
              <w:spacing w:after="0"/>
            </w:pPr>
            <w:r>
              <w:rPr>
                <w:sz w:val="16"/>
              </w:rPr>
              <w:t>FAIL v0 ; FAIL thermique ; PASS comparatif étroit v1 ; tests unitaires 7/7</w:t>
            </w:r>
          </w:p>
        </w:tc>
      </w:tr>
      <w:tr>
        <w:trPr>
          <w:cantSplit w:val="true"/>
        </w:trPr>
        <w:tc>
          <w:tcPr>
            <w:tcW w:type="dxa" w:w="1800"/>
            <w:tcMar>
              <w:top w:w="80" w:type="dxa"/>
              <w:start w:w="120" w:type="dxa"/>
              <w:bottom w:w="80" w:type="dxa"/>
              <w:end w:w="120" w:type="dxa"/>
            </w:tcMar>
            <w:vAlign w:val="top"/>
          </w:tcPr>
          <w:p>
            <w:pPr>
              <w:spacing w:after="0"/>
            </w:pPr>
            <w:r>
              <w:rPr>
                <w:sz w:val="16"/>
              </w:rPr>
              <w:t>NON_MESURÉ</w:t>
            </w:r>
          </w:p>
        </w:tc>
        <w:tc>
          <w:tcPr>
            <w:tcW w:type="dxa" w:w="3744"/>
            <w:tcMar>
              <w:top w:w="80" w:type="dxa"/>
              <w:start w:w="120" w:type="dxa"/>
              <w:bottom w:w="80" w:type="dxa"/>
              <w:end w:w="120" w:type="dxa"/>
            </w:tcMar>
            <w:vAlign w:val="top"/>
          </w:tcPr>
          <w:p>
            <w:pPr>
              <w:spacing w:after="0"/>
            </w:pPr>
            <w:r>
              <w:rPr>
                <w:sz w:val="16"/>
              </w:rPr>
              <w:t>Variable, cadre, seuil ou validation absent</w:t>
            </w:r>
          </w:p>
        </w:tc>
        <w:tc>
          <w:tcPr>
            <w:tcW w:type="dxa" w:w="4104"/>
            <w:tcMar>
              <w:top w:w="80" w:type="dxa"/>
              <w:start w:w="120" w:type="dxa"/>
              <w:bottom w:w="80" w:type="dxa"/>
              <w:end w:w="120" w:type="dxa"/>
            </w:tcMar>
            <w:vAlign w:val="top"/>
          </w:tcPr>
          <w:p>
            <w:pPr>
              <w:spacing w:after="0"/>
            </w:pPr>
            <w:r>
              <w:rPr>
                <w:sz w:val="16"/>
              </w:rPr>
              <w:t>Cadre planète, axiomes physiques, D_Z universel</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10166"/>
            <w:shd w:fill="F4CCCC"/>
            <w:tcMar>
              <w:top w:w="120" w:type="dxa"/>
              <w:start w:w="160" w:type="dxa"/>
              <w:bottom w:w="120" w:type="dxa"/>
              <w:end w:w="160" w:type="dxa"/>
            </w:tcMar>
          </w:tcPr>
          <w:p>
            <w:pPr>
              <w:spacing w:after="60"/>
            </w:pPr>
            <w:r>
              <w:rPr>
                <w:b/>
                <w:color w:val="1F4D78"/>
              </w:rPr>
              <w:t>VERROU</w:t>
            </w:r>
          </w:p>
          <w:p>
            <w:pPr>
              <w:spacing w:after="0"/>
            </w:pPr>
            <w:r>
              <w:t>Ne jamais transformer une compatibilité, une illustration ou un PASS comparatif étroit en validation physique générale.</w:t>
            </w:r>
          </w:p>
        </w:tc>
      </w:tr>
    </w:tbl>
    <w:p>
      <w:pPr>
        <w:spacing w:after="0"/>
      </w:pPr>
    </w:p>
    <w:p>
      <w:pPr>
        <w:pStyle w:val="Heading1"/>
      </w:pPr>
      <w:r>
        <w:t>3. Objectif central : exclusion de la singularité</w:t>
      </w:r>
    </w:p>
    <w:p>
      <w:r>
        <w:t>Démontrer dans le cadre ZORAN que la singularité relativiste n’est pas un état physique réel.</w:t>
      </w:r>
    </w:p>
    <w:p>
      <w:pPr>
        <w:pStyle w:val="EquationZORAN"/>
      </w:pPr>
      <w:r>
        <w:t>Σ ∉ Ω_réel</w:t>
      </w:r>
    </w:p>
    <w:p>
      <w:r>
        <w:t>La singularité est une limite formelle inadmissible, pas un état réel auquel il manquerait des lois.</w:t>
      </w:r>
    </w:p>
    <w:p>
      <w:pPr>
        <w:pStyle w:val="EquationZORAN"/>
      </w:pPr>
      <w:r>
        <w:t>Σ ∉ Dom(Φ_C)</w:t>
      </w:r>
    </w:p>
    <w:tbl>
      <w:tblPr>
        <w:tblW w:type="auto" w:w="0"/>
        <w:jc w:val="center"/>
        <w:tblLayout w:type="fixed"/>
        <w:tblLook w:firstColumn="1" w:firstRow="1" w:lastColumn="0" w:lastRow="0" w:noHBand="0" w:noVBand="1" w:val="04A0"/>
      </w:tblPr>
      <w:tblGrid>
        <w:gridCol w:w="9864"/>
      </w:tblGrid>
      <w:tr>
        <w:tc>
          <w:tcPr>
            <w:tcW w:type="dxa" w:w="10166"/>
            <w:shd w:fill="F4CCCC"/>
            <w:tcMar>
              <w:top w:w="120" w:type="dxa"/>
              <w:start w:w="160" w:type="dxa"/>
              <w:bottom w:w="120" w:type="dxa"/>
              <w:end w:w="160" w:type="dxa"/>
            </w:tcMar>
          </w:tcPr>
          <w:p>
            <w:pPr>
              <w:spacing w:after="60"/>
            </w:pPr>
            <w:r>
              <w:rPr>
                <w:b/>
                <w:color w:val="1F4D78"/>
              </w:rPr>
              <w:t>INTERDICTION</w:t>
            </w:r>
          </w:p>
          <w:p>
            <w:pPr>
              <w:spacing w:after="0"/>
            </w:pPr>
            <w:r>
              <w:t>Ne jamais écrire Φ_C(Σ) = 0. Hors domaine signifie absence de définition, pas valeur nulle.</w:t>
            </w:r>
          </w:p>
        </w:tc>
      </w:tr>
    </w:tbl>
    <w:p>
      <w:pPr>
        <w:spacing w:after="0"/>
      </w:pPr>
    </w:p>
    <w:p>
      <w:pPr>
        <w:pStyle w:val="Heading2"/>
      </w:pPr>
      <w:r>
        <w:t>3.1 Statut exact</w:t>
      </w:r>
    </w:p>
    <w:p>
      <w:pPr>
        <w:pStyle w:val="ListBullet"/>
        <w:spacing w:after="40"/>
      </w:pPr>
      <w:r>
        <w:t>Preuve interne : fermée sous les axiomes.</w:t>
      </w:r>
    </w:p>
    <w:p>
      <w:pPr>
        <w:pStyle w:val="ListBullet"/>
        <w:spacing w:after="40"/>
      </w:pPr>
      <w:r>
        <w:t>Compatibilité conceptuelle avec la relativité générale : établie au niveau du cadre.</w:t>
      </w:r>
    </w:p>
    <w:p>
      <w:pPr>
        <w:pStyle w:val="ListBullet"/>
        <w:spacing w:after="40"/>
      </w:pPr>
      <w:r>
        <w:t>Validation physique des axiomes : NON_MESURÉE.</w:t>
      </w:r>
    </w:p>
    <w:p>
      <w:pPr>
        <w:pStyle w:val="ListBullet"/>
        <w:spacing w:after="40"/>
      </w:pPr>
      <w:r>
        <w:t>Prédiction cosmologique : NON_MESURÉE.</w:t>
      </w:r>
    </w:p>
    <w:p>
      <w:pPr>
        <w:pStyle w:val="ListBullet"/>
        <w:spacing w:after="40"/>
      </w:pPr>
      <w:r>
        <w:t>Ce n’est ni une nouvelle équation de gravitation, ni une réfutation de la relativité générale, ni une cosmologie numérique.</w:t>
      </w:r>
    </w:p>
    <w:p>
      <w:pPr>
        <w:pStyle w:val="Heading1"/>
      </w:pPr>
      <w:r>
        <w:t>4. Axiomes scellés A1–A4</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016"/>
            <w:shd w:fill="E8EEF5"/>
            <w:tcMar>
              <w:top w:w="80" w:type="dxa"/>
              <w:start w:w="120" w:type="dxa"/>
              <w:bottom w:w="80" w:type="dxa"/>
              <w:end w:w="120" w:type="dxa"/>
            </w:tcMar>
            <w:vAlign w:val="center"/>
          </w:tcPr>
          <w:p>
            <w:pPr>
              <w:spacing w:after="0"/>
            </w:pPr>
            <w:r>
              <w:rPr>
                <w:b/>
                <w:color w:val="1F4D78"/>
                <w:sz w:val="16"/>
              </w:rPr>
              <w:t>Axiome</w:t>
            </w:r>
          </w:p>
        </w:tc>
        <w:tc>
          <w:tcPr>
            <w:tcW w:type="dxa" w:w="3384"/>
            <w:shd w:fill="E8EEF5"/>
            <w:tcMar>
              <w:top w:w="80" w:type="dxa"/>
              <w:start w:w="120" w:type="dxa"/>
              <w:bottom w:w="80" w:type="dxa"/>
              <w:end w:w="120" w:type="dxa"/>
            </w:tcMar>
            <w:vAlign w:val="center"/>
          </w:tcPr>
          <w:p>
            <w:pPr>
              <w:spacing w:after="0"/>
            </w:pPr>
            <w:r>
              <w:rPr>
                <w:b/>
                <w:color w:val="1F4D78"/>
                <w:sz w:val="16"/>
              </w:rPr>
              <w:t>Forme</w:t>
            </w:r>
          </w:p>
        </w:tc>
        <w:tc>
          <w:tcPr>
            <w:tcW w:type="dxa" w:w="4248"/>
            <w:shd w:fill="E8EEF5"/>
            <w:tcMar>
              <w:top w:w="80" w:type="dxa"/>
              <w:start w:w="120" w:type="dxa"/>
              <w:bottom w:w="80" w:type="dxa"/>
              <w:end w:w="120" w:type="dxa"/>
            </w:tcMar>
            <w:vAlign w:val="center"/>
          </w:tcPr>
          <w:p>
            <w:pPr>
              <w:spacing w:after="0"/>
            </w:pPr>
            <w:r>
              <w:rPr>
                <w:b/>
                <w:color w:val="1F4D78"/>
                <w:sz w:val="16"/>
              </w:rPr>
              <w:t>Statut / rôle</w:t>
            </w:r>
          </w:p>
        </w:tc>
      </w:tr>
      <w:tr>
        <w:trPr>
          <w:cantSplit w:val="true"/>
        </w:trPr>
        <w:tc>
          <w:tcPr>
            <w:tcW w:type="dxa" w:w="2016"/>
            <w:tcMar>
              <w:top w:w="80" w:type="dxa"/>
              <w:start w:w="120" w:type="dxa"/>
              <w:bottom w:w="80" w:type="dxa"/>
              <w:end w:w="120" w:type="dxa"/>
            </w:tcMar>
            <w:vAlign w:val="top"/>
          </w:tcPr>
          <w:p>
            <w:pPr>
              <w:spacing w:after="0"/>
            </w:pPr>
            <w:r>
              <w:rPr>
                <w:sz w:val="16"/>
              </w:rPr>
              <w:t>A1 — Réalité relationnelle</w:t>
            </w:r>
          </w:p>
        </w:tc>
        <w:tc>
          <w:tcPr>
            <w:tcW w:type="dxa" w:w="3384"/>
            <w:tcMar>
              <w:top w:w="80" w:type="dxa"/>
              <w:start w:w="120" w:type="dxa"/>
              <w:bottom w:w="80" w:type="dxa"/>
              <w:end w:w="120" w:type="dxa"/>
            </w:tcMar>
            <w:vAlign w:val="top"/>
          </w:tcPr>
          <w:p>
            <w:pPr>
              <w:spacing w:after="0"/>
            </w:pPr>
            <w:r>
              <w:rPr>
                <w:sz w:val="16"/>
              </w:rPr>
              <w:t>X ∈ Ω_réel ⇒ 𝒯(X) ≠ ∅</w:t>
            </w:r>
          </w:p>
        </w:tc>
        <w:tc>
          <w:tcPr>
            <w:tcW w:type="dxa" w:w="4248"/>
            <w:tcMar>
              <w:top w:w="80" w:type="dxa"/>
              <w:start w:w="120" w:type="dxa"/>
              <w:bottom w:w="80" w:type="dxa"/>
              <w:end w:w="120" w:type="dxa"/>
            </w:tcMar>
            <w:vAlign w:val="top"/>
          </w:tcPr>
          <w:p>
            <w:pPr>
              <w:spacing w:after="0"/>
            </w:pPr>
            <w:r>
              <w:rPr>
                <w:sz w:val="16"/>
              </w:rPr>
              <w:t>Choix ontologique fondateur ; essentiel à l’exclusion</w:t>
            </w:r>
          </w:p>
        </w:tc>
      </w:tr>
      <w:tr>
        <w:trPr>
          <w:cantSplit w:val="true"/>
        </w:trPr>
        <w:tc>
          <w:tcPr>
            <w:tcW w:type="dxa" w:w="2016"/>
            <w:tcMar>
              <w:top w:w="80" w:type="dxa"/>
              <w:start w:w="120" w:type="dxa"/>
              <w:bottom w:w="80" w:type="dxa"/>
              <w:end w:w="120" w:type="dxa"/>
            </w:tcMar>
            <w:vAlign w:val="top"/>
          </w:tcPr>
          <w:p>
            <w:pPr>
              <w:spacing w:after="0"/>
            </w:pPr>
            <w:r>
              <w:rPr>
                <w:sz w:val="16"/>
              </w:rPr>
              <w:t>A2 — Fait relativiste</w:t>
            </w:r>
          </w:p>
        </w:tc>
        <w:tc>
          <w:tcPr>
            <w:tcW w:type="dxa" w:w="3384"/>
            <w:tcMar>
              <w:top w:w="80" w:type="dxa"/>
              <w:start w:w="120" w:type="dxa"/>
              <w:bottom w:w="80" w:type="dxa"/>
              <w:end w:w="120" w:type="dxa"/>
            </w:tcMar>
            <w:vAlign w:val="top"/>
          </w:tcPr>
          <w:p>
            <w:pPr>
              <w:spacing w:after="0"/>
            </w:pPr>
            <w:r>
              <w:rPr>
                <w:sz w:val="16"/>
              </w:rPr>
              <w:t>pΣ ∉ M</w:t>
            </w:r>
          </w:p>
        </w:tc>
        <w:tc>
          <w:tcPr>
            <w:tcW w:type="dxa" w:w="4248"/>
            <w:tcMar>
              <w:top w:w="80" w:type="dxa"/>
              <w:start w:w="120" w:type="dxa"/>
              <w:bottom w:w="80" w:type="dxa"/>
              <w:end w:w="120" w:type="dxa"/>
            </w:tcMar>
            <w:vAlign w:val="top"/>
          </w:tcPr>
          <w:p>
            <w:pPr>
              <w:spacing w:after="0"/>
            </w:pPr>
            <w:r>
              <w:rPr>
                <w:sz w:val="16"/>
              </w:rPr>
              <w:t>Importé de la relativité ; endpoint formel, b-boundary non canonique</w:t>
            </w:r>
          </w:p>
        </w:tc>
      </w:tr>
      <w:tr>
        <w:trPr>
          <w:cantSplit w:val="true"/>
        </w:trPr>
        <w:tc>
          <w:tcPr>
            <w:tcW w:type="dxa" w:w="2016"/>
            <w:tcMar>
              <w:top w:w="80" w:type="dxa"/>
              <w:start w:w="120" w:type="dxa"/>
              <w:bottom w:w="80" w:type="dxa"/>
              <w:end w:w="120" w:type="dxa"/>
            </w:tcMar>
            <w:vAlign w:val="top"/>
          </w:tcPr>
          <w:p>
            <w:pPr>
              <w:spacing w:after="0"/>
            </w:pPr>
            <w:r>
              <w:rPr>
                <w:sz w:val="16"/>
              </w:rPr>
              <w:t>A3 — Borne</w:t>
            </w:r>
          </w:p>
        </w:tc>
        <w:tc>
          <w:tcPr>
            <w:tcW w:type="dxa" w:w="3384"/>
            <w:tcMar>
              <w:top w:w="80" w:type="dxa"/>
              <w:start w:w="120" w:type="dxa"/>
              <w:bottom w:w="80" w:type="dxa"/>
              <w:end w:w="120" w:type="dxa"/>
            </w:tcMar>
            <w:vAlign w:val="top"/>
          </w:tcPr>
          <w:p>
            <w:pPr>
              <w:spacing w:after="0"/>
            </w:pPr>
            <w:r>
              <w:rPr>
                <w:sz w:val="16"/>
              </w:rPr>
              <w:t>X ∈ Ω_réel ⇒ Φ_C(X) ≥ Φ_min</w:t>
            </w:r>
          </w:p>
        </w:tc>
        <w:tc>
          <w:tcPr>
            <w:tcW w:type="dxa" w:w="4248"/>
            <w:tcMar>
              <w:top w:w="80" w:type="dxa"/>
              <w:start w:w="120" w:type="dxa"/>
              <w:bottom w:w="80" w:type="dxa"/>
              <w:end w:w="120" w:type="dxa"/>
            </w:tcMar>
            <w:vAlign w:val="top"/>
          </w:tcPr>
          <w:p>
            <w:pPr>
              <w:spacing w:after="0"/>
            </w:pPr>
            <w:r>
              <w:rPr>
                <w:sz w:val="16"/>
              </w:rPr>
              <w:t>Borne inférieure ; Φ_min sans valeur opérationnelle mesurée</w:t>
            </w:r>
          </w:p>
        </w:tc>
      </w:tr>
      <w:tr>
        <w:trPr>
          <w:cantSplit w:val="true"/>
        </w:trPr>
        <w:tc>
          <w:tcPr>
            <w:tcW w:type="dxa" w:w="2016"/>
            <w:tcMar>
              <w:top w:w="80" w:type="dxa"/>
              <w:start w:w="120" w:type="dxa"/>
              <w:bottom w:w="80" w:type="dxa"/>
              <w:end w:w="120" w:type="dxa"/>
            </w:tcMar>
            <w:vAlign w:val="top"/>
          </w:tcPr>
          <w:p>
            <w:pPr>
              <w:spacing w:after="0"/>
            </w:pPr>
            <w:r>
              <w:rPr>
                <w:sz w:val="16"/>
              </w:rPr>
              <w:t>A4 — Minimum atteint</w:t>
            </w:r>
          </w:p>
        </w:tc>
        <w:tc>
          <w:tcPr>
            <w:tcW w:type="dxa" w:w="3384"/>
            <w:tcMar>
              <w:top w:w="80" w:type="dxa"/>
              <w:start w:w="120" w:type="dxa"/>
              <w:bottom w:w="80" w:type="dxa"/>
              <w:end w:w="120" w:type="dxa"/>
            </w:tcMar>
            <w:vAlign w:val="top"/>
          </w:tcPr>
          <w:p>
            <w:pPr>
              <w:spacing w:after="0"/>
            </w:pPr>
            <w:r>
              <w:rPr>
                <w:sz w:val="16"/>
              </w:rPr>
              <w:t>∃ Γ(0) : Φ_C(Γ(0)) = Φ_min</w:t>
            </w:r>
          </w:p>
        </w:tc>
        <w:tc>
          <w:tcPr>
            <w:tcW w:type="dxa" w:w="4248"/>
            <w:tcMar>
              <w:top w:w="80" w:type="dxa"/>
              <w:start w:w="120" w:type="dxa"/>
              <w:bottom w:w="80" w:type="dxa"/>
              <w:end w:w="120" w:type="dxa"/>
            </w:tcMar>
            <w:vAlign w:val="top"/>
          </w:tcPr>
          <w:p>
            <w:pPr>
              <w:spacing w:after="0"/>
            </w:pPr>
            <w:r>
              <w:rPr>
                <w:sz w:val="16"/>
              </w:rPr>
              <w:t>Axiome supplémentaire ; construit le premier état admissible U*</w:t>
            </w:r>
          </w:p>
        </w:tc>
      </w:tr>
    </w:tbl>
    <w:p>
      <w:pPr>
        <w:spacing w:after="0"/>
      </w:pPr>
    </w:p>
    <w:p>
      <w:r>
        <w:t>A3 seul ne garantit pas que la borne soit atteinte. A4 ne doit donc jamais être présenté comme conséquence automatique de A3.</w:t>
      </w:r>
    </w:p>
    <w:p>
      <w:pPr>
        <w:pStyle w:val="Heading1"/>
      </w:pPr>
      <w:r>
        <w:t>5. Agencement, domaine et triplet opératoire</w:t>
      </w:r>
    </w:p>
    <w:p>
      <w:pPr>
        <w:pStyle w:val="EquationZORAN"/>
      </w:pPr>
      <w:r>
        <w:t>𝒜(X) = (O_X, E_X, W_X)</w:t>
      </w:r>
    </w:p>
    <w:p>
      <w:pPr>
        <w:pStyle w:val="ListBullet"/>
        <w:spacing w:after="40"/>
      </w:pPr>
      <w:r>
        <w:t>O_X : relata ou composantes physiquement distinguables.</w:t>
      </w:r>
    </w:p>
    <w:p>
      <w:pPr>
        <w:pStyle w:val="ListBullet"/>
        <w:spacing w:after="40"/>
      </w:pPr>
      <w:r>
        <w:t>E_X : relations entre ces composantes.</w:t>
      </w:r>
    </w:p>
    <w:p>
      <w:pPr>
        <w:pStyle w:val="ListBullet"/>
        <w:spacing w:after="40"/>
      </w:pPr>
      <w:r>
        <w:t>W_X : propriétés, intensités ou étiquettes physiques portées par les relations.</w:t>
      </w:r>
    </w:p>
    <w:p>
      <w:pPr>
        <w:pStyle w:val="ListBullet"/>
        <w:spacing w:after="40"/>
      </w:pPr>
      <w:r>
        <w:t>𝔠 : 𝒜_reg → ℝ et Φ_C(X) = 𝔠(𝒜(X)).</w:t>
      </w:r>
    </w:p>
    <w:p>
      <w:pPr>
        <w:pStyle w:val="ListBullet"/>
        <w:spacing w:after="40"/>
      </w:pPr>
      <w:r>
        <w:t>Dom(Φ_C) = {X | 𝒜(X) ∈ 𝒜_reg et 𝒯(X) ≠ ∅}.</w:t>
      </w:r>
    </w:p>
    <w:p>
      <w:pPr>
        <w:pStyle w:val="EquationZORAN"/>
      </w:pPr>
      <w:r>
        <w:t>𝒯(X) = (O_opérant, O_opérande, O_opéré)</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088"/>
            <w:shd w:fill="E8EEF5"/>
            <w:tcMar>
              <w:top w:w="80" w:type="dxa"/>
              <w:start w:w="120" w:type="dxa"/>
              <w:bottom w:w="80" w:type="dxa"/>
              <w:end w:w="120" w:type="dxa"/>
            </w:tcMar>
            <w:vAlign w:val="center"/>
          </w:tcPr>
          <w:p>
            <w:pPr>
              <w:spacing w:after="0"/>
            </w:pPr>
            <w:r>
              <w:rPr>
                <w:b/>
                <w:color w:val="1F4D78"/>
                <w:sz w:val="16"/>
              </w:rPr>
              <w:t>Rôle</w:t>
            </w:r>
          </w:p>
        </w:tc>
        <w:tc>
          <w:tcPr>
            <w:tcW w:type="dxa" w:w="7560"/>
            <w:shd w:fill="E8EEF5"/>
            <w:tcMar>
              <w:top w:w="80" w:type="dxa"/>
              <w:start w:w="120" w:type="dxa"/>
              <w:bottom w:w="80" w:type="dxa"/>
              <w:end w:w="120" w:type="dxa"/>
            </w:tcMar>
            <w:vAlign w:val="center"/>
          </w:tcPr>
          <w:p>
            <w:pPr>
              <w:spacing w:after="0"/>
            </w:pPr>
            <w:r>
              <w:rPr>
                <w:b/>
                <w:color w:val="1F4D78"/>
                <w:sz w:val="16"/>
              </w:rPr>
              <w:t>Définition</w:t>
            </w:r>
          </w:p>
        </w:tc>
      </w:tr>
      <w:tr>
        <w:trPr>
          <w:cantSplit w:val="true"/>
        </w:trPr>
        <w:tc>
          <w:tcPr>
            <w:tcW w:type="dxa" w:w="2088"/>
            <w:tcMar>
              <w:top w:w="80" w:type="dxa"/>
              <w:start w:w="120" w:type="dxa"/>
              <w:bottom w:w="80" w:type="dxa"/>
              <w:end w:w="120" w:type="dxa"/>
            </w:tcMar>
            <w:vAlign w:val="top"/>
          </w:tcPr>
          <w:p>
            <w:pPr>
              <w:spacing w:after="0"/>
            </w:pPr>
            <w:r>
              <w:rPr>
                <w:sz w:val="16"/>
              </w:rPr>
              <w:t>Opérant</w:t>
            </w:r>
          </w:p>
        </w:tc>
        <w:tc>
          <w:tcPr>
            <w:tcW w:type="dxa" w:w="7560"/>
            <w:tcMar>
              <w:top w:w="80" w:type="dxa"/>
              <w:start w:w="120" w:type="dxa"/>
              <w:bottom w:w="80" w:type="dxa"/>
              <w:end w:w="120" w:type="dxa"/>
            </w:tcMar>
            <w:vAlign w:val="top"/>
          </w:tcPr>
          <w:p>
            <w:pPr>
              <w:spacing w:after="0"/>
            </w:pPr>
            <w:r>
              <w:rPr>
                <w:sz w:val="16"/>
              </w:rPr>
              <w:t>Interaction, mécanisme ou cause directionnelle</w:t>
            </w:r>
          </w:p>
        </w:tc>
      </w:tr>
      <w:tr>
        <w:trPr>
          <w:cantSplit w:val="true"/>
        </w:trPr>
        <w:tc>
          <w:tcPr>
            <w:tcW w:type="dxa" w:w="2088"/>
            <w:tcMar>
              <w:top w:w="80" w:type="dxa"/>
              <w:start w:w="120" w:type="dxa"/>
              <w:bottom w:w="80" w:type="dxa"/>
              <w:end w:w="120" w:type="dxa"/>
            </w:tcMar>
            <w:vAlign w:val="top"/>
          </w:tcPr>
          <w:p>
            <w:pPr>
              <w:spacing w:after="0"/>
            </w:pPr>
            <w:r>
              <w:rPr>
                <w:sz w:val="16"/>
              </w:rPr>
              <w:t>Opérande</w:t>
            </w:r>
          </w:p>
        </w:tc>
        <w:tc>
          <w:tcPr>
            <w:tcW w:type="dxa" w:w="7560"/>
            <w:tcMar>
              <w:top w:w="80" w:type="dxa"/>
              <w:start w:w="120" w:type="dxa"/>
              <w:bottom w:w="80" w:type="dxa"/>
              <w:end w:w="120" w:type="dxa"/>
            </w:tcMar>
            <w:vAlign w:val="top"/>
          </w:tcPr>
          <w:p>
            <w:pPr>
              <w:spacing w:after="0"/>
            </w:pPr>
            <w:r>
              <w:rPr>
                <w:sz w:val="16"/>
              </w:rPr>
              <w:t>Partie structurée sur laquelle l’opérant agit</w:t>
            </w:r>
          </w:p>
        </w:tc>
      </w:tr>
      <w:tr>
        <w:trPr>
          <w:cantSplit w:val="true"/>
        </w:trPr>
        <w:tc>
          <w:tcPr>
            <w:tcW w:type="dxa" w:w="2088"/>
            <w:tcMar>
              <w:top w:w="80" w:type="dxa"/>
              <w:start w:w="120" w:type="dxa"/>
              <w:bottom w:w="80" w:type="dxa"/>
              <w:end w:w="120" w:type="dxa"/>
            </w:tcMar>
            <w:vAlign w:val="top"/>
          </w:tcPr>
          <w:p>
            <w:pPr>
              <w:spacing w:after="0"/>
            </w:pPr>
            <w:r>
              <w:rPr>
                <w:sz w:val="16"/>
              </w:rPr>
              <w:t>Opéré</w:t>
            </w:r>
          </w:p>
        </w:tc>
        <w:tc>
          <w:tcPr>
            <w:tcW w:type="dxa" w:w="7560"/>
            <w:tcMar>
              <w:top w:w="80" w:type="dxa"/>
              <w:start w:w="120" w:type="dxa"/>
              <w:bottom w:w="80" w:type="dxa"/>
              <w:end w:w="120" w:type="dxa"/>
            </w:tcMar>
            <w:vAlign w:val="top"/>
          </w:tcPr>
          <w:p>
            <w:pPr>
              <w:spacing w:after="0"/>
            </w:pPr>
            <w:r>
              <w:rPr>
                <w:sz w:val="16"/>
              </w:rPr>
              <w:t>État ou système transformé</w:t>
            </w:r>
          </w:p>
        </w:tc>
      </w:tr>
    </w:tbl>
    <w:p>
      <w:pPr>
        <w:spacing w:after="0"/>
      </w:pPr>
    </w:p>
    <w:p>
      <w:r>
        <w:t>Ne pas réutiliser 𝒯 pour un ensemble d’agencements. Employer 𝒜_reg.</w:t>
      </w:r>
    </w:p>
    <w:p>
      <w:pPr>
        <w:pStyle w:val="Heading1"/>
      </w:pPr>
      <w:r>
        <w:t>6. Preuve minimale de l’exclusion</w:t>
      </w:r>
    </w:p>
    <w:p>
      <w:pPr>
        <w:pStyle w:val="ListNumber"/>
        <w:numPr>
          <w:ilvl w:val="0"/>
          <w:numId w:val="10"/>
        </w:numPr>
        <w:spacing w:after="40"/>
      </w:pPr>
      <w:r>
        <w:t>Considérer une géodésique causale incomplète γ : [0,a) → M, avec a fini, non prolongeable dans (M,g).</w:t>
      </w:r>
    </w:p>
    <w:p>
      <w:pPr>
        <w:pStyle w:val="ListNumber"/>
        <w:numPr>
          <w:ilvl w:val="0"/>
          <w:numId w:val="10"/>
        </w:numPr>
        <w:spacing w:after="40"/>
      </w:pPr>
      <w:r>
        <w:t>Pour une géodésique temporelle, le paramètre peut être le temps propre ; pour une géodésique nulle, employer obligatoirement un paramètre affine.</w:t>
      </w:r>
    </w:p>
    <w:p>
      <w:pPr>
        <w:pStyle w:val="ListNumber"/>
        <w:numPr>
          <w:ilvl w:val="0"/>
          <w:numId w:val="10"/>
        </w:numPr>
        <w:spacing w:after="40"/>
      </w:pPr>
      <w:r>
        <w:t>Un endpoint formel pΣ n’est pas dans M : pΣ ∉ M.</w:t>
      </w:r>
    </w:p>
    <w:p>
      <w:pPr>
        <w:pStyle w:val="ListNumber"/>
        <w:numPr>
          <w:ilvl w:val="0"/>
          <w:numId w:val="10"/>
        </w:numPr>
        <w:spacing w:after="40"/>
      </w:pPr>
      <w:r>
        <w:t>Aucun agencement relationnel régulier n’est alors définissable sur cet endpoint : 𝒜(Σ) ∉ 𝒜_reg.</w:t>
      </w:r>
    </w:p>
    <w:p>
      <w:pPr>
        <w:pStyle w:val="ListNumber"/>
        <w:numPr>
          <w:ilvl w:val="0"/>
          <w:numId w:val="10"/>
        </w:numPr>
        <w:spacing w:after="40"/>
      </w:pPr>
      <w:r>
        <w:t>Donc 𝒯(Σ) = ∅.</w:t>
      </w:r>
    </w:p>
    <w:p>
      <w:pPr>
        <w:pStyle w:val="ListNumber"/>
        <w:numPr>
          <w:ilvl w:val="0"/>
          <w:numId w:val="10"/>
        </w:numPr>
        <w:spacing w:after="40"/>
      </w:pPr>
      <w:r>
        <w:t>Par contraposée de A1, 𝒯(X) = ∅ ⇒ X ∉ Ω_réel.</w:t>
      </w:r>
    </w:p>
    <w:p>
      <w:pPr>
        <w:pStyle w:val="ListNumber"/>
        <w:numPr>
          <w:ilvl w:val="0"/>
          <w:numId w:val="10"/>
        </w:numPr>
        <w:spacing w:after="40"/>
      </w:pPr>
      <w:r>
        <w:t>Conclusion : Σ ∉ Ω_réel et Σ ∉ Dom(Φ_C).</w:t>
      </w:r>
    </w:p>
    <w:tbl>
      <w:tblPr>
        <w:tblW w:type="auto" w:w="0"/>
        <w:jc w:val="center"/>
        <w:tblLayout w:type="fixed"/>
        <w:tblLook w:firstColumn="1" w:firstRow="1" w:lastColumn="0" w:lastRow="0" w:noHBand="0" w:noVBand="1" w:val="04A0"/>
      </w:tblPr>
      <w:tblGrid>
        <w:gridCol w:w="9864"/>
      </w:tblGrid>
      <w:tr>
        <w:tc>
          <w:tcPr>
            <w:tcW w:type="dxa" w:w="10166"/>
            <w:shd w:fill="F4F8FC"/>
            <w:tcMar>
              <w:top w:w="120" w:type="dxa"/>
              <w:start w:w="160" w:type="dxa"/>
              <w:bottom w:w="120" w:type="dxa"/>
              <w:end w:w="160" w:type="dxa"/>
            </w:tcMar>
          </w:tcPr>
          <w:p>
            <w:pPr>
              <w:spacing w:after="60"/>
            </w:pPr>
            <w:r>
              <w:rPr>
                <w:b/>
                <w:color w:val="1F4D78"/>
              </w:rPr>
              <w:t>PORTÉE</w:t>
            </w:r>
          </w:p>
          <w:p>
            <w:pPr>
              <w:spacing w:after="0"/>
            </w:pPr>
            <w:r>
              <w:t>Le théorème d’exclusion utilise essentiellement A1, A2 et les définitions relationnelles. A3 et A4 servent à construire U*, pas à exclure Σ.</w:t>
            </w:r>
          </w:p>
        </w:tc>
      </w:tr>
    </w:tbl>
    <w:p>
      <w:pPr>
        <w:spacing w:after="0"/>
      </w:pPr>
    </w:p>
    <w:p>
      <w:pPr>
        <w:pStyle w:val="Heading1"/>
      </w:pPr>
      <w:r>
        <w:t>7. Correction covariante et singularité essentielle</w:t>
      </w:r>
    </w:p>
    <w:p>
      <w:pPr>
        <w:pStyle w:val="ListBullet"/>
        <w:spacing w:after="40"/>
      </w:pPr>
      <w:r>
        <w:t>Définir la régularité de façon invariante : p ∈ M, métrique lorentzienne non dégénérée, régularité Cᵏ choisie, connexion et dynamique locales, prolongement local des géodésiques.</w:t>
      </w:r>
    </w:p>
    <w:p>
      <w:pPr>
        <w:pStyle w:val="ListBullet"/>
        <w:spacing w:after="40"/>
      </w:pPr>
      <w:r>
        <w:t>Ne pas définir la régularité par des composantes métriques simplement finies : elles dépendent des coordonnées.</w:t>
      </w:r>
    </w:p>
    <w:p>
      <w:pPr>
        <w:pStyle w:val="ListBullet"/>
        <w:spacing w:after="40"/>
      </w:pPr>
      <w:r>
        <w:t>Ne pas utiliser le seul scalaire de Ricci comme test général.</w:t>
      </w:r>
    </w:p>
    <w:p>
      <w:pPr>
        <w:pStyle w:val="ListBullet"/>
        <w:spacing w:after="40"/>
      </w:pPr>
      <w:r>
        <w:t>Distinguer incomplétude du modèle et singularité physique essentielle ; certains espaces-temps incomplets sont extensibles.</w:t>
      </w:r>
    </w:p>
    <w:p>
      <w:pPr>
        <w:pStyle w:val="ListBullet"/>
        <w:spacing w:after="40"/>
      </w:pPr>
      <w:r>
        <w:t>V → 0, ρ → ∞ et courbure → ∞ sont des illustrations secondaires, pas la définition générale.</w:t>
      </w:r>
    </w:p>
    <w:p>
      <w:pPr>
        <w:pStyle w:val="Heading1"/>
      </w:pPr>
      <w:r>
        <w:t>8. Premier état admissible et Big Bang</w:t>
      </w:r>
    </w:p>
    <w:p>
      <w:pPr>
        <w:pStyle w:val="EquationZORAN"/>
      </w:pPr>
      <w:r>
        <w:t>Γ(0) = U*, avec U* ∈ Ω_réel, 𝒯(U*) ≠ ∅ et Φ_C(U*) = Φ_min.</w:t>
      </w:r>
    </w:p>
    <w:p>
      <w:pPr>
        <w:pStyle w:val="EquationZORAN"/>
      </w:pPr>
      <w:r>
        <w:t>U* ≠ Σ</w:t>
      </w:r>
    </w:p>
    <w:p>
      <w:pPr>
        <w:pStyle w:val="ListBullet"/>
        <w:spacing w:after="40"/>
      </w:pPr>
      <w:r>
        <w:t>Le zéro de Γ(0) est l’origine choisie de la trajectoire admissible, pas un t = 0 directement observé.</w:t>
      </w:r>
    </w:p>
    <w:p>
      <w:pPr>
        <w:pStyle w:val="ListBullet"/>
        <w:spacing w:after="40"/>
      </w:pPr>
      <w:r>
        <w:t>Il n’existe pas de causalité physique Σ → U*.</w:t>
      </w:r>
    </w:p>
    <w:p>
      <w:pPr>
        <w:pStyle w:val="ListBullet"/>
        <w:spacing w:after="40"/>
      </w:pPr>
      <w:r>
        <w:t>Rebond, LQC, Π_k ou changement de plan sont des modèles candidats, jamais des conséquences du théorème minimal.</w:t>
      </w:r>
    </w:p>
    <w:p>
      <w:pPr>
        <w:pStyle w:val="Heading1"/>
      </w:pPr>
      <w:r>
        <w:t>9. Temps, relativité, durée, flèche et mémoire</w:t>
      </w:r>
    </w:p>
    <w:p>
      <w:pPr>
        <w:pStyle w:val="EquationZORAN"/>
      </w:pPr>
      <w:r>
        <w:t>𝒜 → succession des transformations → Θ_Z</w:t>
      </w:r>
    </w:p>
    <w:p>
      <w:pPr>
        <w:pStyle w:val="EquationZORAN"/>
      </w:pPr>
      <w:r>
        <w:t>𝒜 → qualité / admissibilité de l’agencement → Φ_C</w:t>
      </w:r>
    </w:p>
    <w:p>
      <w:pPr>
        <w:pStyle w:val="EquationZORAN"/>
      </w:pPr>
      <w:r>
        <w:t>Θ_Z ≠ Φ_C</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728"/>
            <w:shd w:fill="E8EEF5"/>
            <w:tcMar>
              <w:top w:w="80" w:type="dxa"/>
              <w:start w:w="120" w:type="dxa"/>
              <w:bottom w:w="80" w:type="dxa"/>
              <w:end w:w="120" w:type="dxa"/>
            </w:tcMar>
            <w:vAlign w:val="center"/>
          </w:tcPr>
          <w:p>
            <w:pPr>
              <w:spacing w:after="0"/>
            </w:pPr>
            <w:r>
              <w:rPr>
                <w:b/>
                <w:color w:val="1F4D78"/>
                <w:sz w:val="16"/>
              </w:rPr>
              <w:t>Objet</w:t>
            </w:r>
          </w:p>
        </w:tc>
        <w:tc>
          <w:tcPr>
            <w:tcW w:type="dxa" w:w="4320"/>
            <w:shd w:fill="E8EEF5"/>
            <w:tcMar>
              <w:top w:w="80" w:type="dxa"/>
              <w:start w:w="120" w:type="dxa"/>
              <w:bottom w:w="80" w:type="dxa"/>
              <w:end w:w="120" w:type="dxa"/>
            </w:tcMar>
            <w:vAlign w:val="center"/>
          </w:tcPr>
          <w:p>
            <w:pPr>
              <w:spacing w:after="0"/>
            </w:pPr>
            <w:r>
              <w:rPr>
                <w:b/>
                <w:color w:val="1F4D78"/>
                <w:sz w:val="16"/>
              </w:rPr>
              <w:t>Définition verrouillée</w:t>
            </w:r>
          </w:p>
        </w:tc>
        <w:tc>
          <w:tcPr>
            <w:tcW w:type="dxa" w:w="3600"/>
            <w:shd w:fill="E8EEF5"/>
            <w:tcMar>
              <w:top w:w="80" w:type="dxa"/>
              <w:start w:w="120" w:type="dxa"/>
              <w:bottom w:w="80" w:type="dxa"/>
              <w:end w:w="120" w:type="dxa"/>
            </w:tcMar>
            <w:vAlign w:val="center"/>
          </w:tcPr>
          <w:p>
            <w:pPr>
              <w:spacing w:after="0"/>
            </w:pPr>
            <w:r>
              <w:rPr>
                <w:b/>
                <w:color w:val="1F4D78"/>
                <w:sz w:val="16"/>
              </w:rPr>
              <w:t>Ne pas confondre avec</w:t>
            </w:r>
          </w:p>
        </w:tc>
      </w:tr>
      <w:tr>
        <w:trPr>
          <w:cantSplit w:val="true"/>
        </w:trPr>
        <w:tc>
          <w:tcPr>
            <w:tcW w:type="dxa" w:w="1728"/>
            <w:tcMar>
              <w:top w:w="80" w:type="dxa"/>
              <w:start w:w="120" w:type="dxa"/>
              <w:bottom w:w="80" w:type="dxa"/>
              <w:end w:w="120" w:type="dxa"/>
            </w:tcMar>
            <w:vAlign w:val="top"/>
          </w:tcPr>
          <w:p>
            <w:pPr>
              <w:spacing w:after="0"/>
            </w:pPr>
            <w:r>
              <w:rPr>
                <w:sz w:val="16"/>
              </w:rPr>
              <w:t>Temps relativiste</w:t>
            </w:r>
          </w:p>
        </w:tc>
        <w:tc>
          <w:tcPr>
            <w:tcW w:type="dxa" w:w="4320"/>
            <w:tcMar>
              <w:top w:w="80" w:type="dxa"/>
              <w:start w:w="120" w:type="dxa"/>
              <w:bottom w:w="80" w:type="dxa"/>
              <w:end w:w="120" w:type="dxa"/>
            </w:tcMar>
            <w:vAlign w:val="top"/>
          </w:tcPr>
          <w:p>
            <w:pPr>
              <w:spacing w:after="0"/>
            </w:pPr>
            <w:r>
              <w:rPr>
                <w:sz w:val="16"/>
              </w:rPr>
              <w:t>dτ = (1/c)√(−gμν dxμ dxν), convention adaptée</w:t>
            </w:r>
          </w:p>
        </w:tc>
        <w:tc>
          <w:tcPr>
            <w:tcW w:type="dxa" w:w="3600"/>
            <w:tcMar>
              <w:top w:w="80" w:type="dxa"/>
              <w:start w:w="120" w:type="dxa"/>
              <w:bottom w:w="80" w:type="dxa"/>
              <w:end w:w="120" w:type="dxa"/>
            </w:tcMar>
            <w:vAlign w:val="top"/>
          </w:tcPr>
          <w:p>
            <w:pPr>
              <w:spacing w:after="0"/>
            </w:pPr>
            <w:r>
              <w:rPr>
                <w:sz w:val="16"/>
              </w:rPr>
              <w:t>Paramètre affine nul ; Θ_Z ; D_Z</w:t>
            </w:r>
          </w:p>
        </w:tc>
      </w:tr>
      <w:tr>
        <w:trPr>
          <w:cantSplit w:val="true"/>
        </w:trPr>
        <w:tc>
          <w:tcPr>
            <w:tcW w:type="dxa" w:w="1728"/>
            <w:tcMar>
              <w:top w:w="80" w:type="dxa"/>
              <w:start w:w="120" w:type="dxa"/>
              <w:bottom w:w="80" w:type="dxa"/>
              <w:end w:w="120" w:type="dxa"/>
            </w:tcMar>
            <w:vAlign w:val="top"/>
          </w:tcPr>
          <w:p>
            <w:pPr>
              <w:spacing w:after="0"/>
            </w:pPr>
            <w:r>
              <w:rPr>
                <w:sz w:val="16"/>
              </w:rPr>
              <w:t>Θ_Z</w:t>
            </w:r>
          </w:p>
        </w:tc>
        <w:tc>
          <w:tcPr>
            <w:tcW w:type="dxa" w:w="4320"/>
            <w:tcMar>
              <w:top w:w="80" w:type="dxa"/>
              <w:start w:w="120" w:type="dxa"/>
              <w:bottom w:w="80" w:type="dxa"/>
              <w:end w:w="120" w:type="dxa"/>
            </w:tcMar>
            <w:vAlign w:val="top"/>
          </w:tcPr>
          <w:p>
            <w:pPr>
              <w:spacing w:after="0"/>
            </w:pPr>
            <w:r>
              <w:rPr>
                <w:sz w:val="16"/>
              </w:rPr>
              <w:t>Ordre relationnel des transformations</w:t>
            </w:r>
          </w:p>
        </w:tc>
        <w:tc>
          <w:tcPr>
            <w:tcW w:type="dxa" w:w="3600"/>
            <w:tcMar>
              <w:top w:w="80" w:type="dxa"/>
              <w:start w:w="120" w:type="dxa"/>
              <w:bottom w:w="80" w:type="dxa"/>
              <w:end w:w="120" w:type="dxa"/>
            </w:tcMar>
            <w:vAlign w:val="top"/>
          </w:tcPr>
          <w:p>
            <w:pPr>
              <w:spacing w:after="0"/>
            </w:pPr>
            <w:r>
              <w:rPr>
                <w:sz w:val="16"/>
              </w:rPr>
              <w:t>Cohérence Φ_C</w:t>
            </w:r>
          </w:p>
        </w:tc>
      </w:tr>
      <w:tr>
        <w:trPr>
          <w:cantSplit w:val="true"/>
        </w:trPr>
        <w:tc>
          <w:tcPr>
            <w:tcW w:type="dxa" w:w="1728"/>
            <w:tcMar>
              <w:top w:w="80" w:type="dxa"/>
              <w:start w:w="120" w:type="dxa"/>
              <w:bottom w:w="80" w:type="dxa"/>
              <w:end w:w="120" w:type="dxa"/>
            </w:tcMar>
            <w:vAlign w:val="top"/>
          </w:tcPr>
          <w:p>
            <w:pPr>
              <w:spacing w:after="0"/>
            </w:pPr>
            <w:r>
              <w:rPr>
                <w:sz w:val="16"/>
              </w:rPr>
              <w:t>D_Z</w:t>
            </w:r>
          </w:p>
        </w:tc>
        <w:tc>
          <w:tcPr>
            <w:tcW w:type="dxa" w:w="4320"/>
            <w:tcMar>
              <w:top w:w="80" w:type="dxa"/>
              <w:start w:w="120" w:type="dxa"/>
              <w:bottom w:w="80" w:type="dxa"/>
              <w:end w:w="120" w:type="dxa"/>
            </w:tcMar>
            <w:vAlign w:val="top"/>
          </w:tcPr>
          <w:p>
            <w:pPr>
              <w:spacing w:after="0"/>
            </w:pPr>
            <w:r>
              <w:rPr>
                <w:sz w:val="16"/>
              </w:rPr>
              <w:t>Succession mesurée des transformations</w:t>
            </w:r>
          </w:p>
        </w:tc>
        <w:tc>
          <w:tcPr>
            <w:tcW w:type="dxa" w:w="3600"/>
            <w:tcMar>
              <w:top w:w="80" w:type="dxa"/>
              <w:start w:w="120" w:type="dxa"/>
              <w:bottom w:w="80" w:type="dxa"/>
              <w:end w:w="120" w:type="dxa"/>
            </w:tcMar>
            <w:vAlign w:val="top"/>
          </w:tcPr>
          <w:p>
            <w:pPr>
              <w:spacing w:after="0"/>
            </w:pPr>
            <w:r>
              <w:rPr>
                <w:sz w:val="16"/>
              </w:rPr>
              <w:t>Simple nombre de cycles ou durée de laboratoire</w:t>
            </w:r>
          </w:p>
        </w:tc>
      </w:tr>
      <w:tr>
        <w:trPr>
          <w:cantSplit w:val="true"/>
        </w:trPr>
        <w:tc>
          <w:tcPr>
            <w:tcW w:type="dxa" w:w="1728"/>
            <w:tcMar>
              <w:top w:w="80" w:type="dxa"/>
              <w:start w:w="120" w:type="dxa"/>
              <w:bottom w:w="80" w:type="dxa"/>
              <w:end w:w="120" w:type="dxa"/>
            </w:tcMar>
            <w:vAlign w:val="top"/>
          </w:tcPr>
          <w:p>
            <w:pPr>
              <w:spacing w:after="0"/>
            </w:pPr>
            <w:r>
              <w:rPr>
                <w:sz w:val="16"/>
              </w:rPr>
              <w:t>A_Z</w:t>
            </w:r>
          </w:p>
        </w:tc>
        <w:tc>
          <w:tcPr>
            <w:tcW w:type="dxa" w:w="4320"/>
            <w:tcMar>
              <w:top w:w="80" w:type="dxa"/>
              <w:start w:w="120" w:type="dxa"/>
              <w:bottom w:w="80" w:type="dxa"/>
              <w:end w:w="120" w:type="dxa"/>
            </w:tcMar>
            <w:vAlign w:val="top"/>
          </w:tcPr>
          <w:p>
            <w:pPr>
              <w:spacing w:after="0"/>
            </w:pPr>
            <w:r>
              <w:rPr>
                <w:sz w:val="16"/>
              </w:rPr>
              <w:t>Perte de récupérabilité autonome</w:t>
            </w:r>
          </w:p>
        </w:tc>
        <w:tc>
          <w:tcPr>
            <w:tcW w:type="dxa" w:w="3600"/>
            <w:tcMar>
              <w:top w:w="80" w:type="dxa"/>
              <w:start w:w="120" w:type="dxa"/>
              <w:bottom w:w="80" w:type="dxa"/>
              <w:end w:w="120" w:type="dxa"/>
            </w:tcMar>
            <w:vAlign w:val="top"/>
          </w:tcPr>
          <w:p>
            <w:pPr>
              <w:spacing w:after="0"/>
            </w:pPr>
            <w:r>
              <w:rPr>
                <w:sz w:val="16"/>
              </w:rPr>
              <w:t>Longueur de trajectoire</w:t>
            </w:r>
          </w:p>
        </w:tc>
      </w:tr>
      <w:tr>
        <w:trPr>
          <w:cantSplit w:val="true"/>
        </w:trPr>
        <w:tc>
          <w:tcPr>
            <w:tcW w:type="dxa" w:w="1728"/>
            <w:tcMar>
              <w:top w:w="80" w:type="dxa"/>
              <w:start w:w="120" w:type="dxa"/>
              <w:bottom w:w="80" w:type="dxa"/>
              <w:end w:w="120" w:type="dxa"/>
            </w:tcMar>
            <w:vAlign w:val="top"/>
          </w:tcPr>
          <w:p>
            <w:pPr>
              <w:spacing w:after="0"/>
            </w:pPr>
            <w:r>
              <w:rPr>
                <w:sz w:val="16"/>
              </w:rPr>
              <w:t>𝓜</w:t>
            </w:r>
          </w:p>
        </w:tc>
        <w:tc>
          <w:tcPr>
            <w:tcW w:type="dxa" w:w="4320"/>
            <w:tcMar>
              <w:top w:w="80" w:type="dxa"/>
              <w:start w:w="120" w:type="dxa"/>
              <w:bottom w:w="80" w:type="dxa"/>
              <w:end w:w="120" w:type="dxa"/>
            </w:tcMar>
            <w:vAlign w:val="top"/>
          </w:tcPr>
          <w:p>
            <w:pPr>
              <w:spacing w:after="0"/>
            </w:pPr>
            <w:r>
              <w:rPr>
                <w:sz w:val="16"/>
              </w:rPr>
              <w:t>Trace de l’histoire relationnelle</w:t>
            </w:r>
          </w:p>
        </w:tc>
        <w:tc>
          <w:tcPr>
            <w:tcW w:type="dxa" w:w="3600"/>
            <w:tcMar>
              <w:top w:w="80" w:type="dxa"/>
              <w:start w:w="120" w:type="dxa"/>
              <w:bottom w:w="80" w:type="dxa"/>
              <w:end w:w="120" w:type="dxa"/>
            </w:tcMar>
            <w:vAlign w:val="top"/>
          </w:tcPr>
          <w:p>
            <w:pPr>
              <w:spacing w:after="0"/>
            </w:pPr>
            <w:r>
              <w:rPr>
                <w:sz w:val="16"/>
              </w:rPr>
              <w:t>Destruction absolue d’information</w:t>
            </w:r>
          </w:p>
        </w:tc>
      </w:tr>
    </w:tbl>
    <w:p>
      <w:pPr>
        <w:spacing w:after="0"/>
      </w:pPr>
    </w:p>
    <w:p>
      <w:pPr>
        <w:pStyle w:val="ListBullet"/>
        <w:spacing w:after="40"/>
      </w:pPr>
      <w:r>
        <w:t>Condition candidate, non démontrée : D_Z(Γ) → ∫Γ dτ dans une limite relativiste appropriée.</w:t>
      </w:r>
    </w:p>
    <w:p>
      <w:pPr>
        <w:pStyle w:val="ListBullet"/>
        <w:spacing w:after="40"/>
      </w:pPr>
      <w:r>
        <w:t>Pour une géodésique nulle, dτ = 0 ; évaluer la complétude avec un paramètre affine λ.</w:t>
      </w:r>
    </w:p>
    <w:p>
      <w:pPr>
        <w:pStyle w:val="ListBullet"/>
        <w:spacing w:after="40"/>
      </w:pPr>
      <w:r>
        <w:t>Ne pas reprendre temps = fonction directe de la cohérence.</w:t>
      </w:r>
    </w:p>
    <w:p>
      <w:pPr>
        <w:pStyle w:val="ListBullet"/>
        <w:spacing w:after="40"/>
      </w:pPr>
      <w:r>
        <w:t>Ne pas poser dΘ_Z = Φ_C dτ_ext sans l’étiqueter comme hypothèse supplémentaire.</w:t>
      </w:r>
    </w:p>
    <w:p>
      <w:pPr>
        <w:pStyle w:val="Heading1"/>
      </w:pPr>
      <w:r>
        <w:t>10. Mémoire locale, provenance et identité</w:t>
      </w:r>
    </w:p>
    <w:p>
      <w:pPr>
        <w:pStyle w:val="ListBullet"/>
        <w:spacing w:after="40"/>
      </w:pPr>
      <w:r>
        <w:t>L_Q = H(H_passé | Q). Si N histoires restent compatibles avec le même état local : R_Q = 1/N.</w:t>
      </w:r>
    </w:p>
    <w:p>
      <w:pPr>
        <w:pStyle w:val="ListBullet"/>
        <w:spacing w:after="40"/>
      </w:pPr>
      <w:r>
        <w:t>A_Q^∞ = 1 − R_Q^∞, où R_Q^∞ est la meilleure récupération autonome de Q.</w:t>
      </w:r>
    </w:p>
    <w:p>
      <w:pPr>
        <w:pStyle w:val="ListBullet"/>
        <w:spacing w:after="40"/>
      </w:pPr>
      <w:r>
        <w:t>La dynamique globale peut rester réversible, R_{Q+E}=1, alors que R_Q^∞&lt;1.</w:t>
      </w:r>
    </w:p>
    <w:p>
      <w:pPr>
        <w:pStyle w:val="ListBullet"/>
        <w:spacing w:after="40"/>
      </w:pPr>
      <w:r>
        <w:t>Y_n=(Q_n,E_n,𝓜_n). La mémoire minimale est une classe causale [𝓜_n]_~ : mêmes futurs admissibles.</w:t>
      </w:r>
    </w:p>
    <w:p>
      <w:pPr>
        <w:pStyle w:val="ListBullet"/>
        <w:spacing w:after="40"/>
      </w:pPr>
      <w:r>
        <w:t>Retour de matière ≠ retour de l’objet à l’identique : relations, mémoire et provenance doivent aussi être restaurées.</w:t>
      </w:r>
    </w:p>
    <w:tbl>
      <w:tblPr>
        <w:tblW w:type="auto" w:w="0"/>
        <w:jc w:val="center"/>
        <w:tblLayout w:type="fixed"/>
        <w:tblLook w:firstColumn="1" w:firstRow="1" w:lastColumn="0" w:lastRow="0" w:noHBand="0" w:noVBand="1" w:val="04A0"/>
      </w:tblPr>
      <w:tblGrid>
        <w:gridCol w:w="9864"/>
      </w:tblGrid>
      <w:tr>
        <w:tc>
          <w:tcPr>
            <w:tcW w:type="dxa" w:w="10166"/>
            <w:shd w:fill="F4F8FC"/>
            <w:tcMar>
              <w:top w:w="120" w:type="dxa"/>
              <w:start w:w="160" w:type="dxa"/>
              <w:bottom w:w="120" w:type="dxa"/>
              <w:end w:w="160" w:type="dxa"/>
            </w:tcMar>
          </w:tcPr>
          <w:p>
            <w:pPr>
              <w:spacing w:after="60"/>
            </w:pPr>
            <w:r>
              <w:rPr>
                <w:b/>
                <w:color w:val="1F4D78"/>
              </w:rPr>
              <w:t>TEST DÉCISIF DE PROVENANCE</w:t>
            </w:r>
          </w:p>
          <w:p>
            <w:pPr>
              <w:spacing w:after="0"/>
            </w:pPr>
            <w:r>
              <w:t>Comparer deux modèles identiques recevant Q_t,E_t ; l’un reçoit en plus M_t. La mémoire a un contenu propre seulement si elle améliore hors groupe la précision ET la calibration, sans fuite entre première et seconde vie.</w:t>
            </w:r>
          </w:p>
        </w:tc>
      </w:tr>
    </w:tbl>
    <w:p>
      <w:pPr>
        <w:spacing w:after="0"/>
      </w:pPr>
    </w:p>
    <w:p>
      <w:pPr>
        <w:pStyle w:val="Heading1"/>
      </w:pPr>
      <w:r>
        <w:t>11. Recul méthodologique : cohérence et viabilité</w:t>
      </w:r>
    </w:p>
    <w:tbl>
      <w:tblPr>
        <w:tblW w:type="auto" w:w="0"/>
        <w:jc w:val="center"/>
        <w:tblLayout w:type="fixed"/>
        <w:tblLook w:firstColumn="1" w:firstRow="1" w:lastColumn="0" w:lastRow="0" w:noHBand="0" w:noVBand="1" w:val="04A0"/>
      </w:tblPr>
      <w:tblGrid>
        <w:gridCol w:w="9864"/>
      </w:tblGrid>
      <w:tr>
        <w:tc>
          <w:tcPr>
            <w:tcW w:type="dxa" w:w="10166"/>
            <w:shd w:fill="D9EAD3"/>
            <w:tcMar>
              <w:top w:w="120" w:type="dxa"/>
              <w:start w:w="160" w:type="dxa"/>
              <w:bottom w:w="120" w:type="dxa"/>
              <w:end w:w="160" w:type="dxa"/>
            </w:tcMar>
          </w:tcPr>
          <w:p>
            <w:pPr>
              <w:spacing w:after="60"/>
            </w:pPr>
            <w:r>
              <w:rPr>
                <w:b/>
                <w:color w:val="1F4D78"/>
              </w:rPr>
              <w:t>CORRECTION CENTRALE</w:t>
            </w:r>
          </w:p>
          <w:p>
            <w:pPr>
              <w:spacing w:after="0"/>
            </w:pPr>
            <w:r>
              <w:t>La cohérence n’est pas un prédicteur direct d’heures. La physique produit les transformations candidates ; ZORAN borne les trajectoires qui restent admissibles dans les cadres définis.</w:t>
            </w:r>
          </w:p>
        </w:tc>
      </w:tr>
    </w:tbl>
    <w:p>
      <w:pPr>
        <w:spacing w:after="0"/>
      </w:pPr>
    </w:p>
    <w:p>
      <w:pPr>
        <w:pStyle w:val="EquationZORAN"/>
      </w:pPr>
      <w:r>
        <w:t>K_L = {Y : pour tout j, g_{L,j}(Y) ≤ 0}</w:t>
      </w:r>
    </w:p>
    <w:p>
      <w:pPr>
        <w:pStyle w:val="EquationZORAN"/>
      </w:pPr>
      <w:r>
        <w:t>T_sortie = inf{Δt ≥ 0 : Y_{t+Δt} ∉ K_L}</w:t>
      </w:r>
    </w:p>
    <w:p>
      <w:pPr>
        <w:pStyle w:val="ListBullet"/>
        <w:spacing w:after="40"/>
      </w:pPr>
      <w:r>
        <w:t>Un seul invariant critique violé suffit à sortir du noyau de viabilité.</w:t>
      </w:r>
    </w:p>
    <w:p>
      <w:pPr>
        <w:pStyle w:val="ListBullet"/>
        <w:spacing w:after="40"/>
      </w:pPr>
      <w:r>
        <w:t>Une mesure obligatoire absente produit NON_MESURÉ.</w:t>
      </w:r>
    </w:p>
    <w:p>
      <w:pPr>
        <w:pStyle w:val="ListBullet"/>
        <w:spacing w:after="40"/>
      </w:pPr>
      <w:r>
        <w:t>Les actions admissibles sont ordonnées partiellement ; utiliser le front non dominé, pas une moyenne globale.</w:t>
      </w:r>
    </w:p>
    <w:p>
      <w:pPr>
        <w:pStyle w:val="ListBullet"/>
        <w:spacing w:after="40"/>
      </w:pPr>
      <w:r>
        <w:t>Un optimum unique exige des préférences supplémentaires explicites.</w:t>
      </w:r>
    </w:p>
    <w:p>
      <w:pPr>
        <w:pStyle w:val="Heading1"/>
      </w:pPr>
      <w:r>
        <w:t>12. Architecture multicadre générale</w:t>
      </w:r>
    </w:p>
    <w:p>
      <w:pPr>
        <w:pStyle w:val="Heading2"/>
      </w:pPr>
      <w:r>
        <w:t>12.1 Quand un ensemble devient-il un cadre ?</w:t>
      </w:r>
    </w:p>
    <w:p>
      <w:pPr>
        <w:spacing w:after="50"/>
        <w:ind w:left="216" w:hanging="216"/>
      </w:pPr>
      <w:r>
        <w:rPr>
          <w:b/>
        </w:rPr>
        <w:t xml:space="preserve">[  ]  </w:t>
      </w:r>
      <w:r>
        <w:t>Frontière explicite : ce qui est dedans, dehors et à l’interface.</w:t>
      </w:r>
    </w:p>
    <w:p>
      <w:pPr>
        <w:spacing w:after="50"/>
        <w:ind w:left="216" w:hanging="216"/>
      </w:pPr>
      <w:r>
        <w:rPr>
          <w:b/>
        </w:rPr>
        <w:t xml:space="preserve">[  ]  </w:t>
      </w:r>
      <w:r>
        <w:t>Fonction ou objectif propre, distinct de celui du niveau voisin.</w:t>
      </w:r>
    </w:p>
    <w:p>
      <w:pPr>
        <w:spacing w:after="50"/>
        <w:ind w:left="216" w:hanging="216"/>
      </w:pPr>
      <w:r>
        <w:rPr>
          <w:b/>
        </w:rPr>
        <w:t xml:space="preserve">[  ]  </w:t>
      </w:r>
      <w:r>
        <w:t>Variables et proxys mesurables propres.</w:t>
      </w:r>
    </w:p>
    <w:p>
      <w:pPr>
        <w:spacing w:after="50"/>
        <w:ind w:left="216" w:hanging="216"/>
      </w:pPr>
      <w:r>
        <w:rPr>
          <w:b/>
        </w:rPr>
        <w:t xml:space="preserve">[  ]  </w:t>
      </w:r>
      <w:r>
        <w:t>Triplet opérant–opérande–opéré défini.</w:t>
      </w:r>
    </w:p>
    <w:p>
      <w:pPr>
        <w:spacing w:after="50"/>
        <w:ind w:left="216" w:hanging="216"/>
      </w:pPr>
      <w:r>
        <w:rPr>
          <w:b/>
        </w:rPr>
        <w:t xml:space="preserve">[  ]  </w:t>
      </w:r>
      <w:r>
        <w:t>Au moins une relation causale testable avec les autres niveaux.</w:t>
      </w:r>
    </w:p>
    <w:p>
      <w:pPr>
        <w:spacing w:after="50"/>
        <w:ind w:left="216" w:hanging="216"/>
      </w:pPr>
      <w:r>
        <w:rPr>
          <w:b/>
        </w:rPr>
        <w:t xml:space="preserve">[  ]  </w:t>
      </w:r>
      <w:r>
        <w:t>Au moins un invariant critique ou seuil de sortie propre.</w:t>
      </w:r>
    </w:p>
    <w:p>
      <w:pPr>
        <w:spacing w:after="50"/>
        <w:ind w:left="216" w:hanging="216"/>
      </w:pPr>
      <w:r>
        <w:rPr>
          <w:b/>
        </w:rPr>
        <w:t xml:space="preserve">[  ]  </w:t>
      </w:r>
      <w:r>
        <w:t>Absence de double comptage avec un autre cadre.</w:t>
      </w:r>
    </w:p>
    <w:tbl>
      <w:tblPr>
        <w:tblW w:type="auto" w:w="0"/>
        <w:jc w:val="center"/>
        <w:tblLayout w:type="fixed"/>
        <w:tblLook w:firstColumn="1" w:firstRow="1" w:lastColumn="0" w:lastRow="0" w:noHBand="0" w:noVBand="1" w:val="04A0"/>
      </w:tblPr>
      <w:tblGrid>
        <w:gridCol w:w="9864"/>
      </w:tblGrid>
      <w:tr>
        <w:tc>
          <w:tcPr>
            <w:tcW w:type="dxa" w:w="10166"/>
            <w:shd w:fill="F4F8FC"/>
            <w:tcMar>
              <w:top w:w="120" w:type="dxa"/>
              <w:start w:w="160" w:type="dxa"/>
              <w:bottom w:w="120" w:type="dxa"/>
              <w:end w:w="160" w:type="dxa"/>
            </w:tcMar>
          </w:tcPr>
          <w:p>
            <w:pPr>
              <w:spacing w:after="60"/>
            </w:pPr>
            <w:r>
              <w:rPr>
                <w:b/>
                <w:color w:val="1F4D78"/>
              </w:rPr>
              <w:t>RÈGLE DE PROMOTION</w:t>
            </w:r>
          </w:p>
          <w:p>
            <w:pPr>
              <w:spacing w:after="0"/>
            </w:pPr>
            <w:r>
              <w:t>Si une condition manque, conserver l’ensemble comme voisinage, secteur, relation ou proxy. Ne pas le promouvoir artificiellement en cadre.</w:t>
            </w:r>
          </w:p>
        </w:tc>
      </w:tr>
    </w:tbl>
    <w:p>
      <w:pPr>
        <w:spacing w:after="0"/>
      </w:pPr>
    </w:p>
    <w:p>
      <w:pPr>
        <w:pStyle w:val="Heading2"/>
      </w:pPr>
      <w:r>
        <w:t>12.2 Calcul sans fusion</w:t>
      </w:r>
    </w:p>
    <w:p>
      <w:pPr>
        <w:pStyle w:val="EquationZORAN"/>
      </w:pPr>
      <w:r>
        <w:t>C(X) = (C₀(X), C₁(X), …, C_k(X))</w:t>
      </w:r>
    </w:p>
    <w:p>
      <w:r>
        <w:t>Chaque C_i reste une famille de proxys et de contraintes. Le verdict global d’admissibilité est une conjonction de portes critiques, pas la moyenne des C_i. Une valeur numérique de Φ_C n’est autorisée que lorsque son domaine, ses proxys, ses unités, ses ancrages et sa calibration sont définis.</w:t>
      </w:r>
    </w:p>
    <w:p>
      <w:pPr>
        <w:pStyle w:val="Heading1"/>
      </w:pPr>
      <w:r>
        <w:t>13. Roulement : hiérarchie corrigée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584"/>
            <w:shd w:fill="E8EEF5"/>
            <w:tcMar>
              <w:top w:w="80" w:type="dxa"/>
              <w:start w:w="120" w:type="dxa"/>
              <w:bottom w:w="80" w:type="dxa"/>
              <w:end w:w="120" w:type="dxa"/>
            </w:tcMar>
            <w:vAlign w:val="center"/>
          </w:tcPr>
          <w:p>
            <w:pPr>
              <w:spacing w:after="0"/>
            </w:pPr>
            <w:r>
              <w:rPr>
                <w:b/>
                <w:color w:val="1F4D78"/>
                <w:sz w:val="14"/>
              </w:rPr>
              <w:t>Niveau</w:t>
            </w:r>
          </w:p>
        </w:tc>
        <w:tc>
          <w:tcPr>
            <w:tcW w:type="dxa" w:w="3240"/>
            <w:shd w:fill="E8EEF5"/>
            <w:tcMar>
              <w:top w:w="80" w:type="dxa"/>
              <w:start w:w="120" w:type="dxa"/>
              <w:bottom w:w="80" w:type="dxa"/>
              <w:end w:w="120" w:type="dxa"/>
            </w:tcMar>
            <w:vAlign w:val="center"/>
          </w:tcPr>
          <w:p>
            <w:pPr>
              <w:spacing w:after="0"/>
            </w:pPr>
            <w:r>
              <w:rPr>
                <w:b/>
                <w:color w:val="1F4D78"/>
                <w:sz w:val="14"/>
              </w:rPr>
              <w:t>Frontière / fonction</w:t>
            </w:r>
          </w:p>
        </w:tc>
        <w:tc>
          <w:tcPr>
            <w:tcW w:type="dxa" w:w="3312"/>
            <w:shd w:fill="E8EEF5"/>
            <w:tcMar>
              <w:top w:w="80" w:type="dxa"/>
              <w:start w:w="120" w:type="dxa"/>
              <w:bottom w:w="80" w:type="dxa"/>
              <w:end w:w="120" w:type="dxa"/>
            </w:tcMar>
            <w:vAlign w:val="center"/>
          </w:tcPr>
          <w:p>
            <w:pPr>
              <w:spacing w:after="0"/>
            </w:pPr>
            <w:r>
              <w:rPr>
                <w:b/>
                <w:color w:val="1F4D78"/>
                <w:sz w:val="14"/>
              </w:rPr>
              <w:t>Proxys candidats</w:t>
            </w:r>
          </w:p>
        </w:tc>
        <w:tc>
          <w:tcPr>
            <w:tcW w:type="dxa" w:w="1512"/>
            <w:shd w:fill="E8EEF5"/>
            <w:tcMar>
              <w:top w:w="80" w:type="dxa"/>
              <w:start w:w="120" w:type="dxa"/>
              <w:bottom w:w="80" w:type="dxa"/>
              <w:end w:w="120" w:type="dxa"/>
            </w:tcMar>
            <w:vAlign w:val="center"/>
          </w:tcPr>
          <w:p>
            <w:pPr>
              <w:spacing w:after="0"/>
            </w:pPr>
            <w:r>
              <w:rPr>
                <w:b/>
                <w:color w:val="1F4D78"/>
                <w:sz w:val="14"/>
              </w:rPr>
              <w:t>Statut</w:t>
            </w:r>
          </w:p>
        </w:tc>
      </w:tr>
      <w:tr>
        <w:trPr>
          <w:cantSplit w:val="true"/>
        </w:trPr>
        <w:tc>
          <w:tcPr>
            <w:tcW w:type="dxa" w:w="1584"/>
            <w:tcMar>
              <w:top w:w="80" w:type="dxa"/>
              <w:start w:w="120" w:type="dxa"/>
              <w:bottom w:w="80" w:type="dxa"/>
              <w:end w:w="120" w:type="dxa"/>
            </w:tcMar>
            <w:vAlign w:val="top"/>
          </w:tcPr>
          <w:p>
            <w:pPr>
              <w:spacing w:after="0"/>
            </w:pPr>
            <w:r>
              <w:rPr>
                <w:sz w:val="14"/>
              </w:rPr>
              <w:t>R0 — Bille</w:t>
            </w:r>
          </w:p>
        </w:tc>
        <w:tc>
          <w:tcPr>
            <w:tcW w:type="dxa" w:w="3240"/>
            <w:tcMar>
              <w:top w:w="80" w:type="dxa"/>
              <w:start w:w="120" w:type="dxa"/>
              <w:bottom w:w="80" w:type="dxa"/>
              <w:end w:w="120" w:type="dxa"/>
            </w:tcMar>
            <w:vAlign w:val="top"/>
          </w:tcPr>
          <w:p>
            <w:pPr>
              <w:spacing w:after="0"/>
            </w:pPr>
            <w:r>
              <w:rPr>
                <w:sz w:val="14"/>
              </w:rPr>
              <w:t>Intégrité de la bille et roulement local</w:t>
            </w:r>
          </w:p>
        </w:tc>
        <w:tc>
          <w:tcPr>
            <w:tcW w:type="dxa" w:w="3312"/>
            <w:tcMar>
              <w:top w:w="80" w:type="dxa"/>
              <w:start w:w="120" w:type="dxa"/>
              <w:bottom w:w="80" w:type="dxa"/>
              <w:end w:w="120" w:type="dxa"/>
            </w:tcMar>
            <w:vAlign w:val="top"/>
          </w:tcPr>
          <w:p>
            <w:pPr>
              <w:spacing w:after="0"/>
            </w:pPr>
            <w:r>
              <w:rPr>
                <w:sz w:val="14"/>
              </w:rPr>
              <w:t>géométrie, fissure, piqûre, dureté, température de contact</w:t>
            </w:r>
          </w:p>
        </w:tc>
        <w:tc>
          <w:tcPr>
            <w:tcW w:type="dxa" w:w="1512"/>
            <w:tcMar>
              <w:top w:w="80" w:type="dxa"/>
              <w:start w:w="120" w:type="dxa"/>
              <w:bottom w:w="80" w:type="dxa"/>
              <w:end w:w="120" w:type="dxa"/>
            </w:tcMar>
            <w:vAlign w:val="top"/>
          </w:tcPr>
          <w:p>
            <w:pPr>
              <w:spacing w:after="0"/>
            </w:pPr>
            <w:r>
              <w:rPr>
                <w:sz w:val="14"/>
              </w:rPr>
              <w:t>À instrumenter</w:t>
            </w:r>
          </w:p>
        </w:tc>
      </w:tr>
      <w:tr>
        <w:trPr>
          <w:cantSplit w:val="true"/>
        </w:trPr>
        <w:tc>
          <w:tcPr>
            <w:tcW w:type="dxa" w:w="1584"/>
            <w:tcMar>
              <w:top w:w="80" w:type="dxa"/>
              <w:start w:w="120" w:type="dxa"/>
              <w:bottom w:w="80" w:type="dxa"/>
              <w:end w:w="120" w:type="dxa"/>
            </w:tcMar>
            <w:vAlign w:val="top"/>
          </w:tcPr>
          <w:p>
            <w:pPr>
              <w:spacing w:after="0"/>
            </w:pPr>
            <w:r>
              <w:rPr>
                <w:sz w:val="14"/>
              </w:rPr>
              <w:t>R1 — Voisinage</w:t>
            </w:r>
          </w:p>
        </w:tc>
        <w:tc>
          <w:tcPr>
            <w:tcW w:type="dxa" w:w="3240"/>
            <w:tcMar>
              <w:top w:w="80" w:type="dxa"/>
              <w:start w:w="120" w:type="dxa"/>
              <w:bottom w:w="80" w:type="dxa"/>
              <w:end w:w="120" w:type="dxa"/>
            </w:tcMar>
            <w:vAlign w:val="top"/>
          </w:tcPr>
          <w:p>
            <w:pPr>
              <w:spacing w:after="0"/>
            </w:pPr>
            <w:r>
              <w:rPr>
                <w:sz w:val="14"/>
              </w:rPr>
              <w:t>Contacts immédiats : billes adjacentes, cage, segments de pistes, film lubrifiant</w:t>
            </w:r>
          </w:p>
        </w:tc>
        <w:tc>
          <w:tcPr>
            <w:tcW w:type="dxa" w:w="3312"/>
            <w:tcMar>
              <w:top w:w="80" w:type="dxa"/>
              <w:start w:w="120" w:type="dxa"/>
              <w:bottom w:w="80" w:type="dxa"/>
              <w:end w:w="120" w:type="dxa"/>
            </w:tcMar>
            <w:vAlign w:val="top"/>
          </w:tcPr>
          <w:p>
            <w:pPr>
              <w:spacing w:after="0"/>
            </w:pPr>
            <w:r>
              <w:rPr>
                <w:sz w:val="14"/>
              </w:rPr>
              <w:t>charge locale, glissement, vibration, température, film</w:t>
            </w:r>
          </w:p>
        </w:tc>
        <w:tc>
          <w:tcPr>
            <w:tcW w:type="dxa" w:w="1512"/>
            <w:tcMar>
              <w:top w:w="80" w:type="dxa"/>
              <w:start w:w="120" w:type="dxa"/>
              <w:bottom w:w="80" w:type="dxa"/>
              <w:end w:w="120" w:type="dxa"/>
            </w:tcMar>
            <w:vAlign w:val="top"/>
          </w:tcPr>
          <w:p>
            <w:pPr>
              <w:spacing w:after="0"/>
            </w:pPr>
            <w:r>
              <w:rPr>
                <w:sz w:val="14"/>
              </w:rPr>
              <w:t>Cadre causal pertinent</w:t>
            </w:r>
          </w:p>
        </w:tc>
      </w:tr>
      <w:tr>
        <w:trPr>
          <w:cantSplit w:val="true"/>
        </w:trPr>
        <w:tc>
          <w:tcPr>
            <w:tcW w:type="dxa" w:w="1584"/>
            <w:tcMar>
              <w:top w:w="80" w:type="dxa"/>
              <w:start w:w="120" w:type="dxa"/>
              <w:bottom w:w="80" w:type="dxa"/>
              <w:end w:w="120" w:type="dxa"/>
            </w:tcMar>
            <w:vAlign w:val="top"/>
          </w:tcPr>
          <w:p>
            <w:pPr>
              <w:spacing w:after="0"/>
            </w:pPr>
            <w:r>
              <w:rPr>
                <w:sz w:val="14"/>
              </w:rPr>
              <w:t>R2 — Relation antipodale</w:t>
            </w:r>
          </w:p>
        </w:tc>
        <w:tc>
          <w:tcPr>
            <w:tcW w:type="dxa" w:w="3240"/>
            <w:tcMar>
              <w:top w:w="80" w:type="dxa"/>
              <w:start w:w="120" w:type="dxa"/>
              <w:bottom w:w="80" w:type="dxa"/>
              <w:end w:w="120" w:type="dxa"/>
            </w:tcMar>
            <w:vAlign w:val="top"/>
          </w:tcPr>
          <w:p>
            <w:pPr>
              <w:spacing w:after="0"/>
            </w:pPr>
            <w:r>
              <w:rPr>
                <w:sz w:val="14"/>
              </w:rPr>
              <w:t>Comparaison secteur chargé / secteur opposé</w:t>
            </w:r>
          </w:p>
        </w:tc>
        <w:tc>
          <w:tcPr>
            <w:tcW w:type="dxa" w:w="3312"/>
            <w:tcMar>
              <w:top w:w="80" w:type="dxa"/>
              <w:start w:w="120" w:type="dxa"/>
              <w:bottom w:w="80" w:type="dxa"/>
              <w:end w:w="120" w:type="dxa"/>
            </w:tcMar>
            <w:vAlign w:val="top"/>
          </w:tcPr>
          <w:p>
            <w:pPr>
              <w:spacing w:after="0"/>
            </w:pPr>
            <w:r>
              <w:rPr>
                <w:sz w:val="14"/>
              </w:rPr>
              <w:t>phase, ovalisation, transfert par bagues, asymétrie</w:t>
            </w:r>
          </w:p>
        </w:tc>
        <w:tc>
          <w:tcPr>
            <w:tcW w:type="dxa" w:w="1512"/>
            <w:tcMar>
              <w:top w:w="80" w:type="dxa"/>
              <w:start w:w="120" w:type="dxa"/>
              <w:bottom w:w="80" w:type="dxa"/>
              <w:end w:w="120" w:type="dxa"/>
            </w:tcMar>
            <w:vAlign w:val="top"/>
          </w:tcPr>
          <w:p>
            <w:pPr>
              <w:spacing w:after="0"/>
            </w:pPr>
            <w:r>
              <w:rPr>
                <w:sz w:val="14"/>
              </w:rPr>
              <w:t>Sous-graphe diagnostique par défaut</w:t>
            </w:r>
          </w:p>
        </w:tc>
      </w:tr>
      <w:tr>
        <w:trPr>
          <w:cantSplit w:val="true"/>
        </w:trPr>
        <w:tc>
          <w:tcPr>
            <w:tcW w:type="dxa" w:w="1584"/>
            <w:tcMar>
              <w:top w:w="80" w:type="dxa"/>
              <w:start w:w="120" w:type="dxa"/>
              <w:bottom w:w="80" w:type="dxa"/>
              <w:end w:w="120" w:type="dxa"/>
            </w:tcMar>
            <w:vAlign w:val="top"/>
          </w:tcPr>
          <w:p>
            <w:pPr>
              <w:spacing w:after="0"/>
            </w:pPr>
            <w:r>
              <w:rPr>
                <w:sz w:val="14"/>
              </w:rPr>
              <w:t>R3 — Roulement complet</w:t>
            </w:r>
          </w:p>
        </w:tc>
        <w:tc>
          <w:tcPr>
            <w:tcW w:type="dxa" w:w="3240"/>
            <w:tcMar>
              <w:top w:w="80" w:type="dxa"/>
              <w:start w:w="120" w:type="dxa"/>
              <w:bottom w:w="80" w:type="dxa"/>
              <w:end w:w="120" w:type="dxa"/>
            </w:tcMar>
            <w:vAlign w:val="top"/>
          </w:tcPr>
          <w:p>
            <w:pPr>
              <w:spacing w:after="0"/>
            </w:pPr>
            <w:r>
              <w:rPr>
                <w:sz w:val="14"/>
              </w:rPr>
              <w:t>Transmission et tenue mécanique du roulement</w:t>
            </w:r>
          </w:p>
        </w:tc>
        <w:tc>
          <w:tcPr>
            <w:tcW w:type="dxa" w:w="3312"/>
            <w:tcMar>
              <w:top w:w="80" w:type="dxa"/>
              <w:start w:w="120" w:type="dxa"/>
              <w:bottom w:w="80" w:type="dxa"/>
              <w:end w:w="120" w:type="dxa"/>
            </w:tcMar>
            <w:vAlign w:val="top"/>
          </w:tcPr>
          <w:p>
            <w:pPr>
              <w:spacing w:after="0"/>
            </w:pPr>
            <w:r>
              <w:rPr>
                <w:sz w:val="14"/>
              </w:rPr>
              <w:t>répartition de charge, cage, défauts, vibration globale, dissipation</w:t>
            </w:r>
          </w:p>
        </w:tc>
        <w:tc>
          <w:tcPr>
            <w:tcW w:type="dxa" w:w="1512"/>
            <w:tcMar>
              <w:top w:w="80" w:type="dxa"/>
              <w:start w:w="120" w:type="dxa"/>
              <w:bottom w:w="80" w:type="dxa"/>
              <w:end w:w="120" w:type="dxa"/>
            </w:tcMar>
            <w:vAlign w:val="top"/>
          </w:tcPr>
          <w:p>
            <w:pPr>
              <w:spacing w:after="0"/>
            </w:pPr>
            <w:r>
              <w:rPr>
                <w:sz w:val="14"/>
              </w:rPr>
              <w:t>Cadre système</w:t>
            </w:r>
          </w:p>
        </w:tc>
      </w:tr>
      <w:tr>
        <w:trPr>
          <w:cantSplit w:val="true"/>
        </w:trPr>
        <w:tc>
          <w:tcPr>
            <w:tcW w:type="dxa" w:w="1584"/>
            <w:tcMar>
              <w:top w:w="80" w:type="dxa"/>
              <w:start w:w="120" w:type="dxa"/>
              <w:bottom w:w="80" w:type="dxa"/>
              <w:end w:w="120" w:type="dxa"/>
            </w:tcMar>
            <w:vAlign w:val="top"/>
          </w:tcPr>
          <w:p>
            <w:pPr>
              <w:spacing w:after="0"/>
            </w:pPr>
            <w:r>
              <w:rPr>
                <w:sz w:val="14"/>
              </w:rPr>
              <w:t>R4 — Machine</w:t>
            </w:r>
          </w:p>
        </w:tc>
        <w:tc>
          <w:tcPr>
            <w:tcW w:type="dxa" w:w="3240"/>
            <w:tcMar>
              <w:top w:w="80" w:type="dxa"/>
              <w:start w:w="120" w:type="dxa"/>
              <w:bottom w:w="80" w:type="dxa"/>
              <w:end w:w="120" w:type="dxa"/>
            </w:tcMar>
            <w:vAlign w:val="top"/>
          </w:tcPr>
          <w:p>
            <w:pPr>
              <w:spacing w:after="0"/>
            </w:pPr>
            <w:r>
              <w:rPr>
                <w:sz w:val="14"/>
              </w:rPr>
              <w:t>Arbre, logement, alignement, charge, vitesse, commande et lubrification</w:t>
            </w:r>
          </w:p>
        </w:tc>
        <w:tc>
          <w:tcPr>
            <w:tcW w:type="dxa" w:w="3312"/>
            <w:tcMar>
              <w:top w:w="80" w:type="dxa"/>
              <w:start w:w="120" w:type="dxa"/>
              <w:bottom w:w="80" w:type="dxa"/>
              <w:end w:w="120" w:type="dxa"/>
            </w:tcMar>
            <w:vAlign w:val="top"/>
          </w:tcPr>
          <w:p>
            <w:pPr>
              <w:spacing w:after="0"/>
            </w:pPr>
            <w:r>
              <w:rPr>
                <w:sz w:val="14"/>
              </w:rPr>
              <w:t>désalignement, charge, régime, arrêt, maintenance</w:t>
            </w:r>
          </w:p>
        </w:tc>
        <w:tc>
          <w:tcPr>
            <w:tcW w:type="dxa" w:w="1512"/>
            <w:tcMar>
              <w:top w:w="80" w:type="dxa"/>
              <w:start w:w="120" w:type="dxa"/>
              <w:bottom w:w="80" w:type="dxa"/>
              <w:end w:w="120" w:type="dxa"/>
            </w:tcMar>
            <w:vAlign w:val="top"/>
          </w:tcPr>
          <w:p>
            <w:pPr>
              <w:spacing w:after="0"/>
            </w:pPr>
            <w:r>
              <w:rPr>
                <w:sz w:val="14"/>
              </w:rPr>
              <w:t>Cadre supérieur causal requis</w:t>
            </w:r>
          </w:p>
        </w:tc>
      </w:tr>
      <w:tr>
        <w:trPr>
          <w:cantSplit w:val="true"/>
        </w:trPr>
        <w:tc>
          <w:tcPr>
            <w:tcW w:type="dxa" w:w="1584"/>
            <w:tcMar>
              <w:top w:w="80" w:type="dxa"/>
              <w:start w:w="120" w:type="dxa"/>
              <w:bottom w:w="80" w:type="dxa"/>
              <w:end w:w="120" w:type="dxa"/>
            </w:tcMar>
            <w:vAlign w:val="top"/>
          </w:tcPr>
          <w:p>
            <w:pPr>
              <w:spacing w:after="0"/>
            </w:pPr>
            <w:r>
              <w:rPr>
                <w:sz w:val="14"/>
              </w:rPr>
              <w:t>R5 — Planète</w:t>
            </w:r>
          </w:p>
        </w:tc>
        <w:tc>
          <w:tcPr>
            <w:tcW w:type="dxa" w:w="3240"/>
            <w:tcMar>
              <w:top w:w="80" w:type="dxa"/>
              <w:start w:w="120" w:type="dxa"/>
              <w:bottom w:w="80" w:type="dxa"/>
              <w:end w:w="120" w:type="dxa"/>
            </w:tcMar>
            <w:vAlign w:val="top"/>
          </w:tcPr>
          <w:p>
            <w:pPr>
              <w:spacing w:after="0"/>
            </w:pPr>
            <w:r>
              <w:rPr>
                <w:sz w:val="14"/>
              </w:rPr>
              <w:t>Conséquences de décision</w:t>
            </w:r>
          </w:p>
        </w:tc>
        <w:tc>
          <w:tcPr>
            <w:tcW w:type="dxa" w:w="3312"/>
            <w:tcMar>
              <w:top w:w="80" w:type="dxa"/>
              <w:start w:w="120" w:type="dxa"/>
              <w:bottom w:w="80" w:type="dxa"/>
              <w:end w:w="120" w:type="dxa"/>
            </w:tcMar>
            <w:vAlign w:val="top"/>
          </w:tcPr>
          <w:p>
            <w:pPr>
              <w:spacing w:after="0"/>
            </w:pPr>
            <w:r>
              <w:rPr>
                <w:sz w:val="14"/>
              </w:rPr>
              <w:t>matière, énergie, fabrication, transport, risque, déchet</w:t>
            </w:r>
          </w:p>
        </w:tc>
        <w:tc>
          <w:tcPr>
            <w:tcW w:type="dxa" w:w="1512"/>
            <w:tcMar>
              <w:top w:w="80" w:type="dxa"/>
              <w:start w:w="120" w:type="dxa"/>
              <w:bottom w:w="80" w:type="dxa"/>
              <w:end w:w="120" w:type="dxa"/>
            </w:tcMar>
            <w:vAlign w:val="top"/>
          </w:tcPr>
          <w:p>
            <w:pPr>
              <w:spacing w:after="0"/>
            </w:pPr>
            <w:r>
              <w:rPr>
                <w:sz w:val="14"/>
              </w:rPr>
              <w:t>NON_MESURÉ dans PRONOSTIA</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10166"/>
            <w:shd w:fill="FFF2CC"/>
            <w:tcMar>
              <w:top w:w="120" w:type="dxa"/>
              <w:start w:w="160" w:type="dxa"/>
              <w:bottom w:w="120" w:type="dxa"/>
              <w:end w:w="160" w:type="dxa"/>
            </w:tcMar>
          </w:tcPr>
          <w:p>
            <w:pPr>
              <w:spacing w:after="60"/>
            </w:pPr>
            <w:r>
              <w:rPr>
                <w:b/>
                <w:color w:val="1F4D78"/>
              </w:rPr>
              <w:t>BILLES OPPOSÉES</w:t>
            </w:r>
          </w:p>
          <w:p>
            <w:pPr>
              <w:spacing w:after="0"/>
            </w:pPr>
            <w:r>
              <w:t>Pertinentes comme mesure de symétrie et de transfert à travers les bagues. Elles deviennent un cadre séparé seulement si le protocole isole un secteur antipodal, mesure ses variables propres et teste une causalité distincte. Sinon, les compter comme cadre créerait chevauchement et double comptage.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1872"/>
            <w:shd w:fill="E8EEF5"/>
            <w:tcMar>
              <w:top w:w="80" w:type="dxa"/>
              <w:start w:w="120" w:type="dxa"/>
              <w:bottom w:w="80" w:type="dxa"/>
              <w:end w:w="120" w:type="dxa"/>
            </w:tcMar>
            <w:vAlign w:val="center"/>
          </w:tcPr>
          <w:p>
            <w:pPr>
              <w:spacing w:after="0"/>
            </w:pPr>
            <w:r>
              <w:rPr>
                <w:b/>
                <w:color w:val="1F4D78"/>
                <w:sz w:val="16"/>
              </w:rPr>
              <w:t>Triplet</w:t>
            </w:r>
          </w:p>
        </w:tc>
        <w:tc>
          <w:tcPr>
            <w:tcW w:type="dxa" w:w="7776"/>
            <w:shd w:fill="E8EEF5"/>
            <w:tcMar>
              <w:top w:w="80" w:type="dxa"/>
              <w:start w:w="120" w:type="dxa"/>
              <w:bottom w:w="80" w:type="dxa"/>
              <w:end w:w="120" w:type="dxa"/>
            </w:tcMar>
            <w:vAlign w:val="center"/>
          </w:tcPr>
          <w:p>
            <w:pPr>
              <w:spacing w:after="0"/>
            </w:pPr>
            <w:r>
              <w:rPr>
                <w:b/>
                <w:color w:val="1F4D78"/>
                <w:sz w:val="16"/>
              </w:rPr>
              <w:t>Roulement</w:t>
            </w:r>
          </w:p>
        </w:tc>
      </w:tr>
      <w:tr>
        <w:trPr>
          <w:cantSplit w:val="true"/>
        </w:trPr>
        <w:tc>
          <w:tcPr>
            <w:tcW w:type="dxa" w:w="1872"/>
            <w:tcMar>
              <w:top w:w="80" w:type="dxa"/>
              <w:start w:w="120" w:type="dxa"/>
              <w:bottom w:w="80" w:type="dxa"/>
              <w:end w:w="120" w:type="dxa"/>
            </w:tcMar>
            <w:vAlign w:val="top"/>
          </w:tcPr>
          <w:p>
            <w:pPr>
              <w:spacing w:after="0"/>
            </w:pPr>
            <w:r>
              <w:rPr>
                <w:sz w:val="16"/>
              </w:rPr>
              <w:t>Opérant</w:t>
            </w:r>
          </w:p>
        </w:tc>
        <w:tc>
          <w:tcPr>
            <w:tcW w:type="dxa" w:w="7776"/>
            <w:tcMar>
              <w:top w:w="80" w:type="dxa"/>
              <w:start w:w="120" w:type="dxa"/>
              <w:bottom w:w="80" w:type="dxa"/>
              <w:end w:w="120" w:type="dxa"/>
            </w:tcMar>
            <w:vAlign w:val="top"/>
          </w:tcPr>
          <w:p>
            <w:pPr>
              <w:spacing w:after="0"/>
            </w:pPr>
            <w:r>
              <w:rPr>
                <w:sz w:val="16"/>
              </w:rPr>
              <w:t>Charge, rotation, contact, frottement, température, lubrification, désalignement</w:t>
            </w:r>
          </w:p>
        </w:tc>
      </w:tr>
      <w:tr>
        <w:trPr>
          <w:cantSplit w:val="true"/>
        </w:trPr>
        <w:tc>
          <w:tcPr>
            <w:tcW w:type="dxa" w:w="1872"/>
            <w:tcMar>
              <w:top w:w="80" w:type="dxa"/>
              <w:start w:w="120" w:type="dxa"/>
              <w:bottom w:w="80" w:type="dxa"/>
              <w:end w:w="120" w:type="dxa"/>
            </w:tcMar>
            <w:vAlign w:val="top"/>
          </w:tcPr>
          <w:p>
            <w:pPr>
              <w:spacing w:after="0"/>
            </w:pPr>
            <w:r>
              <w:rPr>
                <w:sz w:val="16"/>
              </w:rPr>
              <w:t>Opérande</w:t>
            </w:r>
          </w:p>
        </w:tc>
        <w:tc>
          <w:tcPr>
            <w:tcW w:type="dxa" w:w="7776"/>
            <w:tcMar>
              <w:top w:w="80" w:type="dxa"/>
              <w:start w:w="120" w:type="dxa"/>
              <w:bottom w:w="80" w:type="dxa"/>
              <w:end w:w="120" w:type="dxa"/>
            </w:tcMar>
            <w:vAlign w:val="top"/>
          </w:tcPr>
          <w:p>
            <w:pPr>
              <w:spacing w:after="0"/>
            </w:pPr>
            <w:r>
              <w:rPr>
                <w:sz w:val="16"/>
              </w:rPr>
              <w:t>Bille, voisines, cage, pistes, lubrifiant, interfaces</w:t>
            </w:r>
          </w:p>
        </w:tc>
      </w:tr>
      <w:tr>
        <w:trPr>
          <w:cantSplit w:val="true"/>
        </w:trPr>
        <w:tc>
          <w:tcPr>
            <w:tcW w:type="dxa" w:w="1872"/>
            <w:tcMar>
              <w:top w:w="80" w:type="dxa"/>
              <w:start w:w="120" w:type="dxa"/>
              <w:bottom w:w="80" w:type="dxa"/>
              <w:end w:w="120" w:type="dxa"/>
            </w:tcMar>
            <w:vAlign w:val="top"/>
          </w:tcPr>
          <w:p>
            <w:pPr>
              <w:spacing w:after="0"/>
            </w:pPr>
            <w:r>
              <w:rPr>
                <w:sz w:val="16"/>
              </w:rPr>
              <w:t>Opéré</w:t>
            </w:r>
          </w:p>
        </w:tc>
        <w:tc>
          <w:tcPr>
            <w:tcW w:type="dxa" w:w="7776"/>
            <w:tcMar>
              <w:top w:w="80" w:type="dxa"/>
              <w:start w:w="120" w:type="dxa"/>
              <w:bottom w:w="80" w:type="dxa"/>
              <w:end w:w="120" w:type="dxa"/>
            </w:tcMar>
            <w:vAlign w:val="top"/>
          </w:tcPr>
          <w:p>
            <w:pPr>
              <w:spacing w:after="0"/>
            </w:pPr>
            <w:r>
              <w:rPr>
                <w:sz w:val="16"/>
              </w:rPr>
              <w:t>Nouvel état géométrique, thermique, vibratoire et endommagé</w:t>
            </w:r>
          </w:p>
        </w:tc>
      </w:tr>
    </w:tbl>
    <w:p>
      <w:pPr>
        <w:spacing w:after="0"/>
      </w:pPr>
    </w:p>
    <w:p>
      <w:pPr>
        <w:pStyle w:val="Heading1"/>
      </w:pPr>
      <w:r>
        <w:t>14. Cellule batterie : hiérarchie corrigée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584"/>
            <w:shd w:fill="E8EEF5"/>
            <w:tcMar>
              <w:top w:w="80" w:type="dxa"/>
              <w:start w:w="120" w:type="dxa"/>
              <w:bottom w:w="80" w:type="dxa"/>
              <w:end w:w="120" w:type="dxa"/>
            </w:tcMar>
            <w:vAlign w:val="center"/>
          </w:tcPr>
          <w:p>
            <w:pPr>
              <w:spacing w:after="0"/>
            </w:pPr>
            <w:r>
              <w:rPr>
                <w:b/>
                <w:color w:val="1F4D78"/>
                <w:sz w:val="14"/>
              </w:rPr>
              <w:t>Niveau</w:t>
            </w:r>
          </w:p>
        </w:tc>
        <w:tc>
          <w:tcPr>
            <w:tcW w:type="dxa" w:w="3240"/>
            <w:shd w:fill="E8EEF5"/>
            <w:tcMar>
              <w:top w:w="80" w:type="dxa"/>
              <w:start w:w="120" w:type="dxa"/>
              <w:bottom w:w="80" w:type="dxa"/>
              <w:end w:w="120" w:type="dxa"/>
            </w:tcMar>
            <w:vAlign w:val="center"/>
          </w:tcPr>
          <w:p>
            <w:pPr>
              <w:spacing w:after="0"/>
            </w:pPr>
            <w:r>
              <w:rPr>
                <w:b/>
                <w:color w:val="1F4D78"/>
                <w:sz w:val="14"/>
              </w:rPr>
              <w:t>Frontière / fonction</w:t>
            </w:r>
          </w:p>
        </w:tc>
        <w:tc>
          <w:tcPr>
            <w:tcW w:type="dxa" w:w="3312"/>
            <w:shd w:fill="E8EEF5"/>
            <w:tcMar>
              <w:top w:w="80" w:type="dxa"/>
              <w:start w:w="120" w:type="dxa"/>
              <w:bottom w:w="80" w:type="dxa"/>
              <w:end w:w="120" w:type="dxa"/>
            </w:tcMar>
            <w:vAlign w:val="center"/>
          </w:tcPr>
          <w:p>
            <w:pPr>
              <w:spacing w:after="0"/>
            </w:pPr>
            <w:r>
              <w:rPr>
                <w:b/>
                <w:color w:val="1F4D78"/>
                <w:sz w:val="14"/>
              </w:rPr>
              <w:t>Proxys candidats</w:t>
            </w:r>
          </w:p>
        </w:tc>
        <w:tc>
          <w:tcPr>
            <w:tcW w:type="dxa" w:w="1512"/>
            <w:shd w:fill="E8EEF5"/>
            <w:tcMar>
              <w:top w:w="80" w:type="dxa"/>
              <w:start w:w="120" w:type="dxa"/>
              <w:bottom w:w="80" w:type="dxa"/>
              <w:end w:w="120" w:type="dxa"/>
            </w:tcMar>
            <w:vAlign w:val="center"/>
          </w:tcPr>
          <w:p>
            <w:pPr>
              <w:spacing w:after="0"/>
            </w:pPr>
            <w:r>
              <w:rPr>
                <w:b/>
                <w:color w:val="1F4D78"/>
                <w:sz w:val="14"/>
              </w:rPr>
              <w:t>Statut</w:t>
            </w:r>
          </w:p>
        </w:tc>
      </w:tr>
      <w:tr>
        <w:trPr>
          <w:cantSplit w:val="true"/>
        </w:trPr>
        <w:tc>
          <w:tcPr>
            <w:tcW w:type="dxa" w:w="1584"/>
            <w:tcMar>
              <w:top w:w="80" w:type="dxa"/>
              <w:start w:w="120" w:type="dxa"/>
              <w:bottom w:w="80" w:type="dxa"/>
              <w:end w:w="120" w:type="dxa"/>
            </w:tcMar>
            <w:vAlign w:val="top"/>
          </w:tcPr>
          <w:p>
            <w:pPr>
              <w:spacing w:after="0"/>
            </w:pPr>
            <w:r>
              <w:rPr>
                <w:sz w:val="14"/>
              </w:rPr>
              <w:t>B0 — Cellule</w:t>
            </w:r>
          </w:p>
        </w:tc>
        <w:tc>
          <w:tcPr>
            <w:tcW w:type="dxa" w:w="3240"/>
            <w:tcMar>
              <w:top w:w="80" w:type="dxa"/>
              <w:start w:w="120" w:type="dxa"/>
              <w:bottom w:w="80" w:type="dxa"/>
              <w:end w:w="120" w:type="dxa"/>
            </w:tcMar>
            <w:vAlign w:val="top"/>
          </w:tcPr>
          <w:p>
            <w:pPr>
              <w:spacing w:after="0"/>
            </w:pPr>
            <w:r>
              <w:rPr>
                <w:sz w:val="14"/>
              </w:rPr>
              <w:t>Stockage électrochimique local</w:t>
            </w:r>
          </w:p>
        </w:tc>
        <w:tc>
          <w:tcPr>
            <w:tcW w:type="dxa" w:w="3312"/>
            <w:tcMar>
              <w:top w:w="80" w:type="dxa"/>
              <w:start w:w="120" w:type="dxa"/>
              <w:bottom w:w="80" w:type="dxa"/>
              <w:end w:w="120" w:type="dxa"/>
            </w:tcMar>
            <w:vAlign w:val="top"/>
          </w:tcPr>
          <w:p>
            <w:pPr>
              <w:spacing w:after="0"/>
            </w:pPr>
            <w:r>
              <w:rPr>
                <w:sz w:val="14"/>
              </w:rPr>
              <w:t>capacité, tension, courant, impédance, température, gonflement</w:t>
            </w:r>
          </w:p>
        </w:tc>
        <w:tc>
          <w:tcPr>
            <w:tcW w:type="dxa" w:w="1512"/>
            <w:tcMar>
              <w:top w:w="80" w:type="dxa"/>
              <w:start w:w="120" w:type="dxa"/>
              <w:bottom w:w="80" w:type="dxa"/>
              <w:end w:w="120" w:type="dxa"/>
            </w:tcMar>
            <w:vAlign w:val="top"/>
          </w:tcPr>
          <w:p>
            <w:pPr>
              <w:spacing w:after="0"/>
            </w:pPr>
            <w:r>
              <w:rPr>
                <w:sz w:val="14"/>
              </w:rPr>
              <w:t>Cadre local</w:t>
            </w:r>
          </w:p>
        </w:tc>
      </w:tr>
      <w:tr>
        <w:trPr>
          <w:cantSplit w:val="true"/>
        </w:trPr>
        <w:tc>
          <w:tcPr>
            <w:tcW w:type="dxa" w:w="1584"/>
            <w:tcMar>
              <w:top w:w="80" w:type="dxa"/>
              <w:start w:w="120" w:type="dxa"/>
              <w:bottom w:w="80" w:type="dxa"/>
              <w:end w:w="120" w:type="dxa"/>
            </w:tcMar>
            <w:vAlign w:val="top"/>
          </w:tcPr>
          <w:p>
            <w:pPr>
              <w:spacing w:after="0"/>
            </w:pPr>
            <w:r>
              <w:rPr>
                <w:sz w:val="14"/>
              </w:rPr>
              <w:t>B1 — Voisines</w:t>
            </w:r>
          </w:p>
        </w:tc>
        <w:tc>
          <w:tcPr>
            <w:tcW w:type="dxa" w:w="3240"/>
            <w:tcMar>
              <w:top w:w="80" w:type="dxa"/>
              <w:start w:w="120" w:type="dxa"/>
              <w:bottom w:w="80" w:type="dxa"/>
              <w:end w:w="120" w:type="dxa"/>
            </w:tcMar>
            <w:vAlign w:val="top"/>
          </w:tcPr>
          <w:p>
            <w:pPr>
              <w:spacing w:after="0"/>
            </w:pPr>
            <w:r>
              <w:rPr>
                <w:sz w:val="14"/>
              </w:rPr>
              <w:t>Couplage thermique et électrique proche</w:t>
            </w:r>
          </w:p>
        </w:tc>
        <w:tc>
          <w:tcPr>
            <w:tcW w:type="dxa" w:w="3312"/>
            <w:tcMar>
              <w:top w:w="80" w:type="dxa"/>
              <w:start w:w="120" w:type="dxa"/>
              <w:bottom w:w="80" w:type="dxa"/>
              <w:end w:w="120" w:type="dxa"/>
            </w:tcMar>
            <w:vAlign w:val="top"/>
          </w:tcPr>
          <w:p>
            <w:pPr>
              <w:spacing w:after="0"/>
            </w:pPr>
            <w:r>
              <w:rPr>
                <w:sz w:val="14"/>
              </w:rPr>
              <w:t>gradient thermique, propagation, équilibrage, résistance d’interconnexion</w:t>
            </w:r>
          </w:p>
        </w:tc>
        <w:tc>
          <w:tcPr>
            <w:tcW w:type="dxa" w:w="1512"/>
            <w:tcMar>
              <w:top w:w="80" w:type="dxa"/>
              <w:start w:w="120" w:type="dxa"/>
              <w:bottom w:w="80" w:type="dxa"/>
              <w:end w:w="120" w:type="dxa"/>
            </w:tcMar>
            <w:vAlign w:val="top"/>
          </w:tcPr>
          <w:p>
            <w:pPr>
              <w:spacing w:after="0"/>
            </w:pPr>
            <w:r>
              <w:rPr>
                <w:sz w:val="14"/>
              </w:rPr>
              <w:t>Cadre causal pertinent</w:t>
            </w:r>
          </w:p>
        </w:tc>
      </w:tr>
      <w:tr>
        <w:trPr>
          <w:cantSplit w:val="true"/>
        </w:trPr>
        <w:tc>
          <w:tcPr>
            <w:tcW w:type="dxa" w:w="1584"/>
            <w:tcMar>
              <w:top w:w="80" w:type="dxa"/>
              <w:start w:w="120" w:type="dxa"/>
              <w:bottom w:w="80" w:type="dxa"/>
              <w:end w:w="120" w:type="dxa"/>
            </w:tcMar>
            <w:vAlign w:val="top"/>
          </w:tcPr>
          <w:p>
            <w:pPr>
              <w:spacing w:after="0"/>
            </w:pPr>
            <w:r>
              <w:rPr>
                <w:sz w:val="14"/>
              </w:rPr>
              <w:t>B2 — Pack</w:t>
            </w:r>
          </w:p>
        </w:tc>
        <w:tc>
          <w:tcPr>
            <w:tcW w:type="dxa" w:w="3240"/>
            <w:tcMar>
              <w:top w:w="80" w:type="dxa"/>
              <w:start w:w="120" w:type="dxa"/>
              <w:bottom w:w="80" w:type="dxa"/>
              <w:end w:w="120" w:type="dxa"/>
            </w:tcMar>
            <w:vAlign w:val="top"/>
          </w:tcPr>
          <w:p>
            <w:pPr>
              <w:spacing w:after="0"/>
            </w:pPr>
            <w:r>
              <w:rPr>
                <w:sz w:val="14"/>
              </w:rPr>
              <w:t>Fonction collective de stockage et fourniture</w:t>
            </w:r>
          </w:p>
        </w:tc>
        <w:tc>
          <w:tcPr>
            <w:tcW w:type="dxa" w:w="3312"/>
            <w:tcMar>
              <w:top w:w="80" w:type="dxa"/>
              <w:start w:w="120" w:type="dxa"/>
              <w:bottom w:w="80" w:type="dxa"/>
              <w:end w:w="120" w:type="dxa"/>
            </w:tcMar>
            <w:vAlign w:val="top"/>
          </w:tcPr>
          <w:p>
            <w:pPr>
              <w:spacing w:after="0"/>
            </w:pPr>
            <w:r>
              <w:rPr>
                <w:sz w:val="14"/>
              </w:rPr>
              <w:t>dispersion SOC/SOH, courant commun, points chauds, cellule limitante</w:t>
            </w:r>
          </w:p>
        </w:tc>
        <w:tc>
          <w:tcPr>
            <w:tcW w:type="dxa" w:w="1512"/>
            <w:tcMar>
              <w:top w:w="80" w:type="dxa"/>
              <w:start w:w="120" w:type="dxa"/>
              <w:bottom w:w="80" w:type="dxa"/>
              <w:end w:w="120" w:type="dxa"/>
            </w:tcMar>
            <w:vAlign w:val="top"/>
          </w:tcPr>
          <w:p>
            <w:pPr>
              <w:spacing w:after="0"/>
            </w:pPr>
            <w:r>
              <w:rPr>
                <w:sz w:val="14"/>
              </w:rPr>
              <w:t>Cadre système</w:t>
            </w:r>
          </w:p>
        </w:tc>
      </w:tr>
      <w:tr>
        <w:trPr>
          <w:cantSplit w:val="true"/>
        </w:trPr>
        <w:tc>
          <w:tcPr>
            <w:tcW w:type="dxa" w:w="1584"/>
            <w:tcMar>
              <w:top w:w="80" w:type="dxa"/>
              <w:start w:w="120" w:type="dxa"/>
              <w:bottom w:w="80" w:type="dxa"/>
              <w:end w:w="120" w:type="dxa"/>
            </w:tcMar>
            <w:vAlign w:val="top"/>
          </w:tcPr>
          <w:p>
            <w:pPr>
              <w:spacing w:after="0"/>
            </w:pPr>
            <w:r>
              <w:rPr>
                <w:sz w:val="14"/>
              </w:rPr>
              <w:t>B3 — Régulateur</w:t>
            </w:r>
          </w:p>
        </w:tc>
        <w:tc>
          <w:tcPr>
            <w:tcW w:type="dxa" w:w="3240"/>
            <w:tcMar>
              <w:top w:w="80" w:type="dxa"/>
              <w:start w:w="120" w:type="dxa"/>
              <w:bottom w:w="80" w:type="dxa"/>
              <w:end w:w="120" w:type="dxa"/>
            </w:tcMar>
            <w:vAlign w:val="top"/>
          </w:tcPr>
          <w:p>
            <w:pPr>
              <w:spacing w:after="0"/>
            </w:pPr>
            <w:r>
              <w:rPr>
                <w:sz w:val="14"/>
              </w:rPr>
              <w:t>Boucle BMS + chargeur + usage/charge commandée</w:t>
            </w:r>
          </w:p>
        </w:tc>
        <w:tc>
          <w:tcPr>
            <w:tcW w:type="dxa" w:w="3312"/>
            <w:tcMar>
              <w:top w:w="80" w:type="dxa"/>
              <w:start w:w="120" w:type="dxa"/>
              <w:bottom w:w="80" w:type="dxa"/>
              <w:end w:w="120" w:type="dxa"/>
            </w:tcMar>
            <w:vAlign w:val="top"/>
          </w:tcPr>
          <w:p>
            <w:pPr>
              <w:spacing w:after="0"/>
            </w:pPr>
            <w:r>
              <w:rPr>
                <w:sz w:val="14"/>
              </w:rPr>
              <w:t>seuils, équilibrage, coupure, estimation, consigne, erreur capteur</w:t>
            </w:r>
          </w:p>
        </w:tc>
        <w:tc>
          <w:tcPr>
            <w:tcW w:type="dxa" w:w="1512"/>
            <w:tcMar>
              <w:top w:w="80" w:type="dxa"/>
              <w:start w:w="120" w:type="dxa"/>
              <w:bottom w:w="80" w:type="dxa"/>
              <w:end w:w="120" w:type="dxa"/>
            </w:tcMar>
            <w:vAlign w:val="top"/>
          </w:tcPr>
          <w:p>
            <w:pPr>
              <w:spacing w:after="0"/>
            </w:pPr>
            <w:r>
              <w:rPr>
                <w:sz w:val="14"/>
              </w:rPr>
              <w:t>Cadre de contrôle</w:t>
            </w:r>
          </w:p>
        </w:tc>
      </w:tr>
      <w:tr>
        <w:trPr>
          <w:cantSplit w:val="true"/>
        </w:trPr>
        <w:tc>
          <w:tcPr>
            <w:tcW w:type="dxa" w:w="1584"/>
            <w:tcMar>
              <w:top w:w="80" w:type="dxa"/>
              <w:start w:w="120" w:type="dxa"/>
              <w:bottom w:w="80" w:type="dxa"/>
              <w:end w:w="120" w:type="dxa"/>
            </w:tcMar>
            <w:vAlign w:val="top"/>
          </w:tcPr>
          <w:p>
            <w:pPr>
              <w:spacing w:after="0"/>
            </w:pPr>
            <w:r>
              <w:rPr>
                <w:sz w:val="14"/>
              </w:rPr>
              <w:t>B4 — Planète</w:t>
            </w:r>
          </w:p>
        </w:tc>
        <w:tc>
          <w:tcPr>
            <w:tcW w:type="dxa" w:w="3240"/>
            <w:tcMar>
              <w:top w:w="80" w:type="dxa"/>
              <w:start w:w="120" w:type="dxa"/>
              <w:bottom w:w="80" w:type="dxa"/>
              <w:end w:w="120" w:type="dxa"/>
            </w:tcMar>
            <w:vAlign w:val="top"/>
          </w:tcPr>
          <w:p>
            <w:pPr>
              <w:spacing w:after="0"/>
            </w:pPr>
            <w:r>
              <w:rPr>
                <w:sz w:val="14"/>
              </w:rPr>
              <w:t>Conséquences de fabrication, usage, réemploi et fin de vie</w:t>
            </w:r>
          </w:p>
        </w:tc>
        <w:tc>
          <w:tcPr>
            <w:tcW w:type="dxa" w:w="3312"/>
            <w:tcMar>
              <w:top w:w="80" w:type="dxa"/>
              <w:start w:w="120" w:type="dxa"/>
              <w:bottom w:w="80" w:type="dxa"/>
              <w:end w:w="120" w:type="dxa"/>
            </w:tcMar>
            <w:vAlign w:val="top"/>
          </w:tcPr>
          <w:p>
            <w:pPr>
              <w:spacing w:after="0"/>
            </w:pPr>
            <w:r>
              <w:rPr>
                <w:sz w:val="14"/>
              </w:rPr>
              <w:t>énergie, matières, transport, seconde vie, recyclage, risque</w:t>
            </w:r>
          </w:p>
        </w:tc>
        <w:tc>
          <w:tcPr>
            <w:tcW w:type="dxa" w:w="1512"/>
            <w:tcMar>
              <w:top w:w="80" w:type="dxa"/>
              <w:start w:w="120" w:type="dxa"/>
              <w:bottom w:w="80" w:type="dxa"/>
              <w:end w:w="120" w:type="dxa"/>
            </w:tcMar>
            <w:vAlign w:val="top"/>
          </w:tcPr>
          <w:p>
            <w:pPr>
              <w:spacing w:after="0"/>
            </w:pPr>
            <w:r>
              <w:rPr>
                <w:sz w:val="14"/>
              </w:rPr>
              <w:t>Partiellement ou NON_MESURÉ</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10166"/>
            <w:shd w:fill="F4F8FC"/>
            <w:tcMar>
              <w:top w:w="120" w:type="dxa"/>
              <w:start w:w="160" w:type="dxa"/>
              <w:bottom w:w="120" w:type="dxa"/>
              <w:end w:w="160" w:type="dxa"/>
            </w:tcMar>
          </w:tcPr>
          <w:p>
            <w:pPr>
              <w:spacing w:after="60"/>
            </w:pPr>
            <w:r>
              <w:rPr>
                <w:b/>
                <w:color w:val="1F4D78"/>
              </w:rPr>
              <w:t>CELLULE LIMITANTE</w:t>
            </w:r>
          </w:p>
          <w:p>
            <w:pPr>
              <w:spacing w:after="0"/>
            </w:pPr>
            <w:r>
              <w:t>Le pack peut perdre sa fonction parce qu’une seule cellule franchit une limite critique. Les bonnes cellules ne compensent pas cette sortie : c’est exactement le verrou non compensable.</w:t>
            </w:r>
          </w:p>
        </w:tc>
      </w:tr>
    </w:tbl>
    <w:p>
      <w:pPr>
        <w:spacing w:after="0"/>
      </w:pPr>
    </w:p>
    <w:p>
      <w:pPr>
        <w:pStyle w:val="Heading1"/>
      </w:pPr>
      <w:r>
        <w:t>15. Deux cadres obligatoires : local et relationnel englobant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880"/>
            <w:shd w:fill="E8EEF5"/>
            <w:tcMar>
              <w:top w:w="80" w:type="dxa"/>
              <w:start w:w="120" w:type="dxa"/>
              <w:bottom w:w="80" w:type="dxa"/>
              <w:end w:w="120" w:type="dxa"/>
            </w:tcMar>
            <w:vAlign w:val="center"/>
          </w:tcPr>
          <w:p>
            <w:pPr>
              <w:spacing w:after="0"/>
            </w:pPr>
            <w:r>
              <w:rPr>
                <w:b/>
                <w:color w:val="1F4D78"/>
                <w:sz w:val="16"/>
              </w:rPr>
              <w:t>Usage</w:t>
            </w:r>
          </w:p>
        </w:tc>
        <w:tc>
          <w:tcPr>
            <w:tcW w:type="dxa" w:w="3744"/>
            <w:shd w:fill="E8EEF5"/>
            <w:tcMar>
              <w:top w:w="80" w:type="dxa"/>
              <w:start w:w="120" w:type="dxa"/>
              <w:bottom w:w="80" w:type="dxa"/>
              <w:end w:w="120" w:type="dxa"/>
            </w:tcMar>
            <w:vAlign w:val="center"/>
          </w:tcPr>
          <w:p>
            <w:pPr>
              <w:spacing w:after="0"/>
            </w:pPr>
            <w:r>
              <w:rPr>
                <w:b/>
                <w:color w:val="1F4D78"/>
                <w:sz w:val="16"/>
              </w:rPr>
              <w:t>Cadres requis</w:t>
            </w:r>
          </w:p>
        </w:tc>
        <w:tc>
          <w:tcPr>
            <w:tcW w:type="dxa" w:w="3024"/>
            <w:shd w:fill="E8EEF5"/>
            <w:tcMar>
              <w:top w:w="80" w:type="dxa"/>
              <w:start w:w="120" w:type="dxa"/>
              <w:bottom w:w="80" w:type="dxa"/>
              <w:end w:w="120" w:type="dxa"/>
            </w:tcMar>
            <w:vAlign w:val="center"/>
          </w:tcPr>
          <w:p>
            <w:pPr>
              <w:spacing w:after="0"/>
            </w:pPr>
            <w:r>
              <w:rPr>
                <w:b/>
                <w:color w:val="1F4D78"/>
                <w:sz w:val="16"/>
              </w:rPr>
              <w:t>Sortie autorisée</w:t>
            </w:r>
          </w:p>
        </w:tc>
      </w:tr>
      <w:tr>
        <w:trPr>
          <w:cantSplit w:val="true"/>
        </w:trPr>
        <w:tc>
          <w:tcPr>
            <w:tcW w:type="dxa" w:w="2880"/>
            <w:tcMar>
              <w:top w:w="80" w:type="dxa"/>
              <w:start w:w="120" w:type="dxa"/>
              <w:bottom w:w="80" w:type="dxa"/>
              <w:end w:w="120" w:type="dxa"/>
            </w:tcMar>
            <w:vAlign w:val="top"/>
          </w:tcPr>
          <w:p>
            <w:pPr>
              <w:spacing w:after="0"/>
            </w:pPr>
            <w:r>
              <w:rPr>
                <w:sz w:val="16"/>
              </w:rPr>
              <w:t>Prédire la dégradation physique locale</w:t>
            </w:r>
          </w:p>
        </w:tc>
        <w:tc>
          <w:tcPr>
            <w:tcW w:type="dxa" w:w="3744"/>
            <w:tcMar>
              <w:top w:w="80" w:type="dxa"/>
              <w:start w:w="120" w:type="dxa"/>
              <w:bottom w:w="80" w:type="dxa"/>
              <w:end w:w="120" w:type="dxa"/>
            </w:tcMar>
            <w:vAlign w:val="top"/>
          </w:tcPr>
          <w:p>
            <w:pPr>
              <w:spacing w:after="0"/>
            </w:pPr>
            <w:r>
              <w:rPr>
                <w:sz w:val="16"/>
              </w:rPr>
              <w:t>Objet + voisinages + système causal + machine/BMS</w:t>
            </w:r>
          </w:p>
        </w:tc>
        <w:tc>
          <w:tcPr>
            <w:tcW w:type="dxa" w:w="3024"/>
            <w:tcMar>
              <w:top w:w="80" w:type="dxa"/>
              <w:start w:w="120" w:type="dxa"/>
              <w:bottom w:w="80" w:type="dxa"/>
              <w:end w:w="120" w:type="dxa"/>
            </w:tcMar>
            <w:vAlign w:val="top"/>
          </w:tcPr>
          <w:p>
            <w:pPr>
              <w:spacing w:after="0"/>
            </w:pPr>
            <w:r>
              <w:rPr>
                <w:sz w:val="16"/>
              </w:rPr>
              <w:t>Distribution de premier passage local</w:t>
            </w:r>
          </w:p>
        </w:tc>
      </w:tr>
      <w:tr>
        <w:trPr>
          <w:cantSplit w:val="true"/>
        </w:trPr>
        <w:tc>
          <w:tcPr>
            <w:tcW w:type="dxa" w:w="2880"/>
            <w:tcMar>
              <w:top w:w="80" w:type="dxa"/>
              <w:start w:w="120" w:type="dxa"/>
              <w:bottom w:w="80" w:type="dxa"/>
              <w:end w:w="120" w:type="dxa"/>
            </w:tcMar>
            <w:vAlign w:val="top"/>
          </w:tcPr>
          <w:p>
            <w:pPr>
              <w:spacing w:after="0"/>
            </w:pPr>
            <w:r>
              <w:rPr>
                <w:sz w:val="16"/>
              </w:rPr>
              <w:t>Décider continuer / ralentir / réparer</w:t>
            </w:r>
          </w:p>
        </w:tc>
        <w:tc>
          <w:tcPr>
            <w:tcW w:type="dxa" w:w="3744"/>
            <w:tcMar>
              <w:top w:w="80" w:type="dxa"/>
              <w:start w:w="120" w:type="dxa"/>
              <w:bottom w:w="80" w:type="dxa"/>
              <w:end w:w="120" w:type="dxa"/>
            </w:tcMar>
            <w:vAlign w:val="top"/>
          </w:tcPr>
          <w:p>
            <w:pPr>
              <w:spacing w:after="0"/>
            </w:pPr>
            <w:r>
              <w:rPr>
                <w:sz w:val="16"/>
              </w:rPr>
              <w:t>Tous les cadres causaux affectés</w:t>
            </w:r>
          </w:p>
        </w:tc>
        <w:tc>
          <w:tcPr>
            <w:tcW w:type="dxa" w:w="3024"/>
            <w:tcMar>
              <w:top w:w="80" w:type="dxa"/>
              <w:start w:w="120" w:type="dxa"/>
              <w:bottom w:w="80" w:type="dxa"/>
              <w:end w:w="120" w:type="dxa"/>
            </w:tcMar>
            <w:vAlign w:val="top"/>
          </w:tcPr>
          <w:p>
            <w:pPr>
              <w:spacing w:after="0"/>
            </w:pPr>
            <w:r>
              <w:rPr>
                <w:sz w:val="16"/>
              </w:rPr>
              <w:t>Actions admissibles locales non dominées</w:t>
            </w:r>
          </w:p>
        </w:tc>
      </w:tr>
      <w:tr>
        <w:trPr>
          <w:cantSplit w:val="true"/>
        </w:trPr>
        <w:tc>
          <w:tcPr>
            <w:tcW w:type="dxa" w:w="2880"/>
            <w:tcMar>
              <w:top w:w="80" w:type="dxa"/>
              <w:start w:w="120" w:type="dxa"/>
              <w:bottom w:w="80" w:type="dxa"/>
              <w:end w:w="120" w:type="dxa"/>
            </w:tcMar>
            <w:vAlign w:val="top"/>
          </w:tcPr>
          <w:p>
            <w:pPr>
              <w:spacing w:after="0"/>
            </w:pPr>
            <w:r>
              <w:rPr>
                <w:sz w:val="16"/>
              </w:rPr>
              <w:t>Décider remplacer / fabriquer / jeter</w:t>
            </w:r>
          </w:p>
        </w:tc>
        <w:tc>
          <w:tcPr>
            <w:tcW w:type="dxa" w:w="3744"/>
            <w:tcMar>
              <w:top w:w="80" w:type="dxa"/>
              <w:start w:w="120" w:type="dxa"/>
              <w:bottom w:w="80" w:type="dxa"/>
              <w:end w:w="120" w:type="dxa"/>
            </w:tcMar>
            <w:vAlign w:val="top"/>
          </w:tcPr>
          <w:p>
            <w:pPr>
              <w:spacing w:after="0"/>
            </w:pPr>
            <w:r>
              <w:rPr>
                <w:sz w:val="16"/>
              </w:rPr>
              <w:t>Cadres causaux + planète</w:t>
            </w:r>
          </w:p>
        </w:tc>
        <w:tc>
          <w:tcPr>
            <w:tcW w:type="dxa" w:w="3024"/>
            <w:tcMar>
              <w:top w:w="80" w:type="dxa"/>
              <w:start w:w="120" w:type="dxa"/>
              <w:bottom w:w="80" w:type="dxa"/>
              <w:end w:w="120" w:type="dxa"/>
            </w:tcMar>
            <w:vAlign w:val="top"/>
          </w:tcPr>
          <w:p>
            <w:pPr>
              <w:spacing w:after="0"/>
            </w:pPr>
            <w:r>
              <w:rPr>
                <w:sz w:val="16"/>
              </w:rPr>
              <w:t>Décision multicadre ; sinon NON_MESURÉ</w:t>
            </w:r>
          </w:p>
        </w:tc>
      </w:tr>
    </w:tbl>
    <w:p>
      <w:pPr>
        <w:spacing w:after="0"/>
      </w:pPr>
    </w:p>
    <w:p>
      <w:r>
        <w:t>La paire minimale est toujours : objet local + premier cadre supérieur relationnel qui englobe ses objets voisins et leurs interactions causales. Le cadre planétaire n’est ajouté que si la chaîne d’effets l’atteint réellement.</w:t>
      </w:r>
    </w:p>
    <w:p>
      <w:pPr>
        <w:pStyle w:val="Heading1"/>
      </w:pPr>
      <w:r>
        <w:t>16. Résultats expérimentaux et logiciels acquis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376"/>
            <w:shd w:fill="E8EEF5"/>
            <w:tcMar>
              <w:top w:w="80" w:type="dxa"/>
              <w:start w:w="120" w:type="dxa"/>
              <w:bottom w:w="80" w:type="dxa"/>
              <w:end w:w="120" w:type="dxa"/>
            </w:tcMar>
            <w:vAlign w:val="center"/>
          </w:tcPr>
          <w:p>
            <w:pPr>
              <w:spacing w:after="0"/>
            </w:pPr>
            <w:r>
              <w:rPr>
                <w:b/>
                <w:color w:val="1F4D78"/>
                <w:sz w:val="15"/>
              </w:rPr>
              <w:t>Montage</w:t>
            </w:r>
          </w:p>
        </w:tc>
        <w:tc>
          <w:tcPr>
            <w:tcW w:type="dxa" w:w="3600"/>
            <w:shd w:fill="E8EEF5"/>
            <w:tcMar>
              <w:top w:w="80" w:type="dxa"/>
              <w:start w:w="120" w:type="dxa"/>
              <w:bottom w:w="80" w:type="dxa"/>
              <w:end w:w="120" w:type="dxa"/>
            </w:tcMar>
            <w:vAlign w:val="center"/>
          </w:tcPr>
          <w:p>
            <w:pPr>
              <w:spacing w:after="0"/>
            </w:pPr>
            <w:r>
              <w:rPr>
                <w:b/>
                <w:color w:val="1F4D78"/>
                <w:sz w:val="15"/>
              </w:rPr>
              <w:t>Résultat mesuré</w:t>
            </w:r>
          </w:p>
        </w:tc>
        <w:tc>
          <w:tcPr>
            <w:tcW w:type="dxa" w:w="3672"/>
            <w:shd w:fill="E8EEF5"/>
            <w:tcMar>
              <w:top w:w="80" w:type="dxa"/>
              <w:start w:w="120" w:type="dxa"/>
              <w:bottom w:w="80" w:type="dxa"/>
              <w:end w:w="120" w:type="dxa"/>
            </w:tcMar>
            <w:vAlign w:val="center"/>
          </w:tcPr>
          <w:p>
            <w:pPr>
              <w:spacing w:after="0"/>
            </w:pPr>
            <w:r>
              <w:rPr>
                <w:b/>
                <w:color w:val="1F4D78"/>
                <w:sz w:val="15"/>
              </w:rPr>
              <w:t>Interprétation verrouillée</w:t>
            </w:r>
          </w:p>
        </w:tc>
      </w:tr>
      <w:tr>
        <w:trPr>
          <w:cantSplit w:val="true"/>
        </w:trPr>
        <w:tc>
          <w:tcPr>
            <w:tcW w:type="dxa" w:w="2376"/>
            <w:tcMar>
              <w:top w:w="80" w:type="dxa"/>
              <w:start w:w="120" w:type="dxa"/>
              <w:bottom w:w="80" w:type="dxa"/>
              <w:end w:w="120" w:type="dxa"/>
            </w:tcMar>
            <w:vAlign w:val="top"/>
          </w:tcPr>
          <w:p>
            <w:pPr>
              <w:spacing w:after="0"/>
            </w:pPr>
            <w:r>
              <w:rPr>
                <w:sz w:val="15"/>
              </w:rPr>
              <w:t>Moteur d’équivalence v0</w:t>
            </w:r>
          </w:p>
        </w:tc>
        <w:tc>
          <w:tcPr>
            <w:tcW w:type="dxa" w:w="3600"/>
            <w:tcMar>
              <w:top w:w="80" w:type="dxa"/>
              <w:start w:w="120" w:type="dxa"/>
              <w:bottom w:w="80" w:type="dxa"/>
              <w:end w:w="120" w:type="dxa"/>
            </w:tcMar>
            <w:vAlign w:val="top"/>
          </w:tcPr>
          <w:p>
            <w:pPr>
              <w:spacing w:after="0"/>
            </w:pPr>
            <w:r>
              <w:rPr>
                <w:sz w:val="15"/>
              </w:rPr>
              <w:t>PASS STRUCTUREL sur bille, batterie, pont synthétiques</w:t>
            </w:r>
          </w:p>
        </w:tc>
        <w:tc>
          <w:tcPr>
            <w:tcW w:type="dxa" w:w="3672"/>
            <w:tcMar>
              <w:top w:w="80" w:type="dxa"/>
              <w:start w:w="120" w:type="dxa"/>
              <w:bottom w:w="80" w:type="dxa"/>
              <w:end w:w="120" w:type="dxa"/>
            </w:tcMar>
            <w:vAlign w:val="top"/>
          </w:tcPr>
          <w:p>
            <w:pPr>
              <w:spacing w:after="0"/>
            </w:pPr>
            <w:r>
              <w:rPr>
                <w:sz w:val="15"/>
              </w:rPr>
              <w:t>Réutilisabilité logicielle ; pondérations physiques NON_MESURÉES</w:t>
            </w:r>
          </w:p>
        </w:tc>
      </w:tr>
      <w:tr>
        <w:trPr>
          <w:cantSplit w:val="true"/>
        </w:trPr>
        <w:tc>
          <w:tcPr>
            <w:tcW w:type="dxa" w:w="2376"/>
            <w:tcMar>
              <w:top w:w="80" w:type="dxa"/>
              <w:start w:w="120" w:type="dxa"/>
              <w:bottom w:w="80" w:type="dxa"/>
              <w:end w:w="120" w:type="dxa"/>
            </w:tcMar>
            <w:vAlign w:val="top"/>
          </w:tcPr>
          <w:p>
            <w:pPr>
              <w:spacing w:after="0"/>
            </w:pPr>
            <w:r>
              <w:rPr>
                <w:sz w:val="15"/>
              </w:rPr>
              <w:t>PRONOSTIA scalaire v0</w:t>
            </w:r>
          </w:p>
        </w:tc>
        <w:tc>
          <w:tcPr>
            <w:tcW w:type="dxa" w:w="3600"/>
            <w:tcMar>
              <w:top w:w="80" w:type="dxa"/>
              <w:start w:w="120" w:type="dxa"/>
              <w:bottom w:w="80" w:type="dxa"/>
              <w:end w:w="120" w:type="dxa"/>
            </w:tcMar>
            <w:vAlign w:val="top"/>
          </w:tcPr>
          <w:p>
            <w:pPr>
              <w:spacing w:after="0"/>
            </w:pPr>
            <w:r>
              <w:rPr>
                <w:sz w:val="15"/>
              </w:rPr>
              <w:t>B0 0,9611 h ; B1 0,9381 h ; Z 0,9712 h</w:t>
            </w:r>
          </w:p>
        </w:tc>
        <w:tc>
          <w:tcPr>
            <w:tcW w:type="dxa" w:w="3672"/>
            <w:tcMar>
              <w:top w:w="80" w:type="dxa"/>
              <w:start w:w="120" w:type="dxa"/>
              <w:bottom w:w="80" w:type="dxa"/>
              <w:end w:w="120" w:type="dxa"/>
            </w:tcMar>
            <w:vAlign w:val="top"/>
          </w:tcPr>
          <w:p>
            <w:pPr>
              <w:spacing w:after="0"/>
            </w:pPr>
            <w:r>
              <w:rPr>
                <w:sz w:val="15"/>
              </w:rPr>
              <w:t>FAIL_PILOTE_LOCAL</w:t>
            </w:r>
          </w:p>
        </w:tc>
      </w:tr>
      <w:tr>
        <w:trPr>
          <w:cantSplit w:val="true"/>
        </w:trPr>
        <w:tc>
          <w:tcPr>
            <w:tcW w:type="dxa" w:w="2376"/>
            <w:tcMar>
              <w:top w:w="80" w:type="dxa"/>
              <w:start w:w="120" w:type="dxa"/>
              <w:bottom w:w="80" w:type="dxa"/>
              <w:end w:w="120" w:type="dxa"/>
            </w:tcMar>
            <w:vAlign w:val="top"/>
          </w:tcPr>
          <w:p>
            <w:pPr>
              <w:spacing w:after="0"/>
            </w:pPr>
            <w:r>
              <w:rPr>
                <w:sz w:val="15"/>
              </w:rPr>
              <w:t>PRONOSTIA thermique v0</w:t>
            </w:r>
          </w:p>
        </w:tc>
        <w:tc>
          <w:tcPr>
            <w:tcW w:type="dxa" w:w="3600"/>
            <w:tcMar>
              <w:top w:w="80" w:type="dxa"/>
              <w:start w:w="120" w:type="dxa"/>
              <w:bottom w:w="80" w:type="dxa"/>
              <w:end w:w="120" w:type="dxa"/>
            </w:tcMar>
            <w:vAlign w:val="top"/>
          </w:tcPr>
          <w:p>
            <w:pPr>
              <w:spacing w:after="0"/>
            </w:pPr>
            <w:r>
              <w:rPr>
                <w:sz w:val="15"/>
              </w:rPr>
              <w:t>B1T 0,8056 h ; ZT 1,1847 h ; 0 victoire / 4</w:t>
            </w:r>
          </w:p>
        </w:tc>
        <w:tc>
          <w:tcPr>
            <w:tcW w:type="dxa" w:w="3672"/>
            <w:tcMar>
              <w:top w:w="80" w:type="dxa"/>
              <w:start w:w="120" w:type="dxa"/>
              <w:bottom w:w="80" w:type="dxa"/>
              <w:end w:w="120" w:type="dxa"/>
            </w:tcMar>
            <w:vAlign w:val="top"/>
          </w:tcPr>
          <w:p>
            <w:pPr>
              <w:spacing w:after="0"/>
            </w:pPr>
            <w:r>
              <w:rPr>
                <w:sz w:val="15"/>
              </w:rPr>
              <w:t>FAIL_THERMIQUE_EXPLORATOIRE</w:t>
            </w:r>
          </w:p>
        </w:tc>
      </w:tr>
      <w:tr>
        <w:trPr>
          <w:cantSplit w:val="true"/>
        </w:trPr>
        <w:tc>
          <w:tcPr>
            <w:tcW w:type="dxa" w:w="2376"/>
            <w:tcMar>
              <w:top w:w="80" w:type="dxa"/>
              <w:start w:w="120" w:type="dxa"/>
              <w:bottom w:w="80" w:type="dxa"/>
              <w:end w:w="120" w:type="dxa"/>
            </w:tcMar>
            <w:vAlign w:val="top"/>
          </w:tcPr>
          <w:p>
            <w:pPr>
              <w:spacing w:after="0"/>
            </w:pPr>
            <w:r>
              <w:rPr>
                <w:sz w:val="15"/>
              </w:rPr>
              <w:t>PRONOSTIA vectoriel v1</w:t>
            </w:r>
          </w:p>
        </w:tc>
        <w:tc>
          <w:tcPr>
            <w:tcW w:type="dxa" w:w="3600"/>
            <w:tcMar>
              <w:top w:w="80" w:type="dxa"/>
              <w:start w:w="120" w:type="dxa"/>
              <w:bottom w:w="80" w:type="dxa"/>
              <w:end w:w="120" w:type="dxa"/>
            </w:tcMar>
            <w:vAlign w:val="top"/>
          </w:tcPr>
          <w:p>
            <w:pPr>
              <w:spacing w:after="0"/>
            </w:pPr>
            <w:r>
              <w:rPr>
                <w:sz w:val="15"/>
              </w:rPr>
              <w:t>ZV1 1,1069 h vs B1 1,1889 h ; 7/11</w:t>
            </w:r>
          </w:p>
        </w:tc>
        <w:tc>
          <w:tcPr>
            <w:tcW w:type="dxa" w:w="3672"/>
            <w:tcMar>
              <w:top w:w="80" w:type="dxa"/>
              <w:start w:w="120" w:type="dxa"/>
              <w:bottom w:w="80" w:type="dxa"/>
              <w:end w:w="120" w:type="dxa"/>
            </w:tcMar>
            <w:vAlign w:val="top"/>
          </w:tcPr>
          <w:p>
            <w:pPr>
              <w:spacing w:after="0"/>
            </w:pPr>
            <w:r>
              <w:rPr>
                <w:sz w:val="15"/>
              </w:rPr>
              <w:t>PASS comparatif local étroit</w:t>
            </w:r>
          </w:p>
        </w:tc>
      </w:tr>
      <w:tr>
        <w:trPr>
          <w:cantSplit w:val="true"/>
        </w:trPr>
        <w:tc>
          <w:tcPr>
            <w:tcW w:type="dxa" w:w="2376"/>
            <w:tcMar>
              <w:top w:w="80" w:type="dxa"/>
              <w:start w:w="120" w:type="dxa"/>
              <w:bottom w:w="80" w:type="dxa"/>
              <w:end w:w="120" w:type="dxa"/>
            </w:tcMar>
            <w:vAlign w:val="top"/>
          </w:tcPr>
          <w:p>
            <w:pPr>
              <w:spacing w:after="0"/>
            </w:pPr>
            <w:r>
              <w:rPr>
                <w:sz w:val="15"/>
              </w:rPr>
              <w:t>Aptitude absolue v1</w:t>
            </w:r>
          </w:p>
        </w:tc>
        <w:tc>
          <w:tcPr>
            <w:tcW w:type="dxa" w:w="3600"/>
            <w:tcMar>
              <w:top w:w="80" w:type="dxa"/>
              <w:start w:w="120" w:type="dxa"/>
              <w:bottom w:w="80" w:type="dxa"/>
              <w:end w:w="120" w:type="dxa"/>
            </w:tcMar>
            <w:vAlign w:val="top"/>
          </w:tcPr>
          <w:p>
            <w:pPr>
              <w:spacing w:after="0"/>
            </w:pPr>
            <w:r>
              <w:rPr>
                <w:sz w:val="15"/>
              </w:rPr>
              <w:t>Erreur relative médiane 110,1 % ; 2/11 ≤ 50 % ; couverture 0/11</w:t>
            </w:r>
          </w:p>
        </w:tc>
        <w:tc>
          <w:tcPr>
            <w:tcW w:type="dxa" w:w="3672"/>
            <w:tcMar>
              <w:top w:w="80" w:type="dxa"/>
              <w:start w:w="120" w:type="dxa"/>
              <w:bottom w:w="80" w:type="dxa"/>
              <w:end w:w="120" w:type="dxa"/>
            </w:tcMar>
            <w:vAlign w:val="top"/>
          </w:tcPr>
          <w:p>
            <w:pPr>
              <w:spacing w:after="0"/>
            </w:pPr>
            <w:r>
              <w:rPr>
                <w:sz w:val="15"/>
              </w:rPr>
              <w:t>NON ADMISSIBLE opérationnellement</w:t>
            </w:r>
          </w:p>
        </w:tc>
      </w:tr>
      <w:tr>
        <w:trPr>
          <w:cantSplit w:val="true"/>
        </w:trPr>
        <w:tc>
          <w:tcPr>
            <w:tcW w:type="dxa" w:w="2376"/>
            <w:tcMar>
              <w:top w:w="80" w:type="dxa"/>
              <w:start w:w="120" w:type="dxa"/>
              <w:bottom w:w="80" w:type="dxa"/>
              <w:end w:w="120" w:type="dxa"/>
            </w:tcMar>
            <w:vAlign w:val="top"/>
          </w:tcPr>
          <w:p>
            <w:pPr>
              <w:spacing w:after="0"/>
            </w:pPr>
            <w:r>
              <w:rPr>
                <w:sz w:val="15"/>
              </w:rPr>
              <w:t>Moteur viabilité multicadres v0</w:t>
            </w:r>
          </w:p>
        </w:tc>
        <w:tc>
          <w:tcPr>
            <w:tcW w:type="dxa" w:w="3600"/>
            <w:tcMar>
              <w:top w:w="80" w:type="dxa"/>
              <w:start w:w="120" w:type="dxa"/>
              <w:bottom w:w="80" w:type="dxa"/>
              <w:end w:w="120" w:type="dxa"/>
            </w:tcMar>
            <w:vAlign w:val="top"/>
          </w:tcPr>
          <w:p>
            <w:pPr>
              <w:spacing w:after="0"/>
            </w:pPr>
            <w:r>
              <w:rPr>
                <w:sz w:val="15"/>
              </w:rPr>
              <w:t>7 tests unitaires / 7 réussis</w:t>
            </w:r>
          </w:p>
        </w:tc>
        <w:tc>
          <w:tcPr>
            <w:tcW w:type="dxa" w:w="3672"/>
            <w:tcMar>
              <w:top w:w="80" w:type="dxa"/>
              <w:start w:w="120" w:type="dxa"/>
              <w:bottom w:w="80" w:type="dxa"/>
              <w:end w:w="120" w:type="dxa"/>
            </w:tcMar>
            <w:vAlign w:val="top"/>
          </w:tcPr>
          <w:p>
            <w:pPr>
              <w:spacing w:after="0"/>
            </w:pPr>
            <w:r>
              <w:rPr>
                <w:sz w:val="15"/>
              </w:rPr>
              <w:t>PASS logiciel structurel ; validation physique NON_MESURÉE</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10166"/>
            <w:shd w:fill="F4CCCC"/>
            <w:tcMar>
              <w:top w:w="120" w:type="dxa"/>
              <w:start w:w="160" w:type="dxa"/>
              <w:bottom w:w="120" w:type="dxa"/>
              <w:end w:w="160" w:type="dxa"/>
            </w:tcMar>
          </w:tcPr>
          <w:p>
            <w:pPr>
              <w:spacing w:after="60"/>
            </w:pPr>
            <w:r>
              <w:rPr>
                <w:b/>
                <w:color w:val="1F4D78"/>
              </w:rPr>
              <w:t>RÉGRESSION CONSERVÉE</w:t>
            </w:r>
          </w:p>
          <w:p>
            <w:pPr>
              <w:spacing w:after="0"/>
            </w:pPr>
            <w:r>
              <w:t>L’amélioration relative v1 ne masque pas l’échec absolu. Les FAIL v0 et thermique restent des acquis négatifs et interdisent de revenir au score scalaire direct.</w:t>
            </w:r>
          </w:p>
        </w:tc>
      </w:tr>
    </w:tbl>
    <w:p>
      <w:pPr>
        <w:spacing w:after="0"/>
      </w:pPr>
    </w:p>
    <w:p>
      <w:pPr>
        <w:pStyle w:val="Heading1"/>
      </w:pPr>
      <w:r>
        <w:t>17. Corpus de poursuite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088"/>
            <w:shd w:fill="E8EEF5"/>
            <w:tcMar>
              <w:top w:w="80" w:type="dxa"/>
              <w:start w:w="120" w:type="dxa"/>
              <w:bottom w:w="80" w:type="dxa"/>
              <w:end w:w="120" w:type="dxa"/>
            </w:tcMar>
            <w:vAlign w:val="center"/>
          </w:tcPr>
          <w:p>
            <w:pPr>
              <w:spacing w:after="0"/>
            </w:pPr>
            <w:r>
              <w:rPr>
                <w:b/>
                <w:color w:val="1F4D78"/>
                <w:sz w:val="16"/>
              </w:rPr>
              <w:t>Corpus</w:t>
            </w:r>
          </w:p>
        </w:tc>
        <w:tc>
          <w:tcPr>
            <w:tcW w:type="dxa" w:w="3960"/>
            <w:shd w:fill="E8EEF5"/>
            <w:tcMar>
              <w:top w:w="80" w:type="dxa"/>
              <w:start w:w="120" w:type="dxa"/>
              <w:bottom w:w="80" w:type="dxa"/>
              <w:end w:w="120" w:type="dxa"/>
            </w:tcMar>
            <w:vAlign w:val="center"/>
          </w:tcPr>
          <w:p>
            <w:pPr>
              <w:spacing w:after="0"/>
            </w:pPr>
            <w:r>
              <w:rPr>
                <w:b/>
                <w:color w:val="1F4D78"/>
                <w:sz w:val="16"/>
              </w:rPr>
              <w:t>Frontière observée</w:t>
            </w:r>
          </w:p>
        </w:tc>
        <w:tc>
          <w:tcPr>
            <w:tcW w:type="dxa" w:w="3600"/>
            <w:shd w:fill="E8EEF5"/>
            <w:tcMar>
              <w:top w:w="80" w:type="dxa"/>
              <w:start w:w="120" w:type="dxa"/>
              <w:bottom w:w="80" w:type="dxa"/>
              <w:end w:w="120" w:type="dxa"/>
            </w:tcMar>
            <w:vAlign w:val="center"/>
          </w:tcPr>
          <w:p>
            <w:pPr>
              <w:spacing w:after="0"/>
            </w:pPr>
            <w:r>
              <w:rPr>
                <w:b/>
                <w:color w:val="1F4D78"/>
                <w:sz w:val="16"/>
              </w:rPr>
              <w:t>Usage</w:t>
            </w:r>
          </w:p>
        </w:tc>
      </w:tr>
      <w:tr>
        <w:trPr>
          <w:cantSplit w:val="true"/>
        </w:trPr>
        <w:tc>
          <w:tcPr>
            <w:tcW w:type="dxa" w:w="2088"/>
            <w:tcMar>
              <w:top w:w="80" w:type="dxa"/>
              <w:start w:w="120" w:type="dxa"/>
              <w:bottom w:w="80" w:type="dxa"/>
              <w:end w:w="120" w:type="dxa"/>
            </w:tcMar>
            <w:vAlign w:val="top"/>
          </w:tcPr>
          <w:p>
            <w:pPr>
              <w:spacing w:after="0"/>
            </w:pPr>
            <w:r>
              <w:rPr>
                <w:sz w:val="16"/>
              </w:rPr>
              <w:t>PRONOSTIA</w:t>
            </w:r>
          </w:p>
        </w:tc>
        <w:tc>
          <w:tcPr>
            <w:tcW w:type="dxa" w:w="3960"/>
            <w:tcMar>
              <w:top w:w="80" w:type="dxa"/>
              <w:start w:w="120" w:type="dxa"/>
              <w:bottom w:w="80" w:type="dxa"/>
              <w:end w:w="120" w:type="dxa"/>
            </w:tcMar>
            <w:vAlign w:val="top"/>
          </w:tcPr>
          <w:p>
            <w:pPr>
              <w:spacing w:after="0"/>
            </w:pPr>
            <w:r>
              <w:rPr>
                <w:sz w:val="16"/>
              </w:rPr>
              <w:t>Arrêt annoncé autour de 20 g, non uniforme</w:t>
            </w:r>
          </w:p>
        </w:tc>
        <w:tc>
          <w:tcPr>
            <w:tcW w:type="dxa" w:w="3600"/>
            <w:tcMar>
              <w:top w:w="80" w:type="dxa"/>
              <w:start w:w="120" w:type="dxa"/>
              <w:bottom w:w="80" w:type="dxa"/>
              <w:end w:w="120" w:type="dxa"/>
            </w:tcMar>
            <w:vAlign w:val="top"/>
          </w:tcPr>
          <w:p>
            <w:pPr>
              <w:spacing w:after="0"/>
            </w:pPr>
            <w:r>
              <w:rPr>
                <w:sz w:val="16"/>
              </w:rPr>
              <w:t>Illustration comparative seulement</w:t>
            </w:r>
          </w:p>
        </w:tc>
      </w:tr>
      <w:tr>
        <w:trPr>
          <w:cantSplit w:val="true"/>
        </w:trPr>
        <w:tc>
          <w:tcPr>
            <w:tcW w:type="dxa" w:w="2088"/>
            <w:tcMar>
              <w:top w:w="80" w:type="dxa"/>
              <w:start w:w="120" w:type="dxa"/>
              <w:bottom w:w="80" w:type="dxa"/>
              <w:end w:w="120" w:type="dxa"/>
            </w:tcMar>
            <w:vAlign w:val="top"/>
          </w:tcPr>
          <w:p>
            <w:pPr>
              <w:spacing w:after="0"/>
            </w:pPr>
            <w:r>
              <w:rPr>
                <w:sz w:val="16"/>
              </w:rPr>
              <w:t>NASA Li-ion historique</w:t>
            </w:r>
          </w:p>
        </w:tc>
        <w:tc>
          <w:tcPr>
            <w:tcW w:type="dxa" w:w="3960"/>
            <w:tcMar>
              <w:top w:w="80" w:type="dxa"/>
              <w:start w:w="120" w:type="dxa"/>
              <w:bottom w:w="80" w:type="dxa"/>
              <w:end w:w="120" w:type="dxa"/>
            </w:tcMar>
            <w:vAlign w:val="top"/>
          </w:tcPr>
          <w:p>
            <w:pPr>
              <w:spacing w:after="0"/>
            </w:pPr>
            <w:r>
              <w:rPr>
                <w:sz w:val="16"/>
              </w:rPr>
              <w:t>Capacité 2 Ah → 1,4 Ah</w:t>
            </w:r>
          </w:p>
        </w:tc>
        <w:tc>
          <w:tcPr>
            <w:tcW w:type="dxa" w:w="3600"/>
            <w:tcMar>
              <w:top w:w="80" w:type="dxa"/>
              <w:start w:w="120" w:type="dxa"/>
              <w:bottom w:w="80" w:type="dxa"/>
              <w:end w:w="120" w:type="dxa"/>
            </w:tcMar>
            <w:vAlign w:val="top"/>
          </w:tcPr>
          <w:p>
            <w:pPr>
              <w:spacing w:after="0"/>
            </w:pPr>
            <w:r>
              <w:rPr>
                <w:sz w:val="16"/>
              </w:rPr>
              <w:t>Développement premier passage fonctionnel</w:t>
            </w:r>
          </w:p>
        </w:tc>
      </w:tr>
      <w:tr>
        <w:trPr>
          <w:cantSplit w:val="true"/>
        </w:trPr>
        <w:tc>
          <w:tcPr>
            <w:tcW w:type="dxa" w:w="2088"/>
            <w:tcMar>
              <w:top w:w="80" w:type="dxa"/>
              <w:start w:w="120" w:type="dxa"/>
              <w:bottom w:w="80" w:type="dxa"/>
              <w:end w:w="120" w:type="dxa"/>
            </w:tcMar>
            <w:vAlign w:val="top"/>
          </w:tcPr>
          <w:p>
            <w:pPr>
              <w:spacing w:after="0"/>
            </w:pPr>
            <w:r>
              <w:rPr>
                <w:sz w:val="16"/>
              </w:rPr>
              <w:t>NASA 26 packs</w:t>
            </w:r>
          </w:p>
        </w:tc>
        <w:tc>
          <w:tcPr>
            <w:tcW w:type="dxa" w:w="3960"/>
            <w:tcMar>
              <w:top w:w="80" w:type="dxa"/>
              <w:start w:w="120" w:type="dxa"/>
              <w:bottom w:w="80" w:type="dxa"/>
              <w:end w:w="120" w:type="dxa"/>
            </w:tcMar>
            <w:vAlign w:val="top"/>
          </w:tcPr>
          <w:p>
            <w:pPr>
              <w:spacing w:after="0"/>
            </w:pPr>
            <w:r>
              <w:rPr>
                <w:sz w:val="16"/>
              </w:rPr>
              <w:t>Défaillance d’au moins une cellule ; seconde vie</w:t>
            </w:r>
          </w:p>
        </w:tc>
        <w:tc>
          <w:tcPr>
            <w:tcW w:type="dxa" w:w="3600"/>
            <w:tcMar>
              <w:top w:w="80" w:type="dxa"/>
              <w:start w:w="120" w:type="dxa"/>
              <w:bottom w:w="80" w:type="dxa"/>
              <w:end w:w="120" w:type="dxa"/>
            </w:tcMar>
            <w:vAlign w:val="top"/>
          </w:tcPr>
          <w:p>
            <w:pPr>
              <w:spacing w:after="0"/>
            </w:pPr>
            <w:r>
              <w:rPr>
                <w:sz w:val="16"/>
              </w:rPr>
              <w:t>Test décisif de provenance / mémoire</w:t>
            </w:r>
          </w:p>
        </w:tc>
      </w:tr>
      <w:tr>
        <w:trPr>
          <w:cantSplit w:val="true"/>
        </w:trPr>
        <w:tc>
          <w:tcPr>
            <w:tcW w:type="dxa" w:w="2088"/>
            <w:tcMar>
              <w:top w:w="80" w:type="dxa"/>
              <w:start w:w="120" w:type="dxa"/>
              <w:bottom w:w="80" w:type="dxa"/>
              <w:end w:w="120" w:type="dxa"/>
            </w:tcMar>
            <w:vAlign w:val="top"/>
          </w:tcPr>
          <w:p>
            <w:pPr>
              <w:spacing w:after="0"/>
            </w:pPr>
            <w:r>
              <w:rPr>
                <w:sz w:val="16"/>
              </w:rPr>
              <w:t>XJTU-SY</w:t>
            </w:r>
          </w:p>
        </w:tc>
        <w:tc>
          <w:tcPr>
            <w:tcW w:type="dxa" w:w="3960"/>
            <w:tcMar>
              <w:top w:w="80" w:type="dxa"/>
              <w:start w:w="120" w:type="dxa"/>
              <w:bottom w:w="80" w:type="dxa"/>
              <w:end w:w="120" w:type="dxa"/>
            </w:tcMar>
            <w:vAlign w:val="top"/>
          </w:tcPr>
          <w:p>
            <w:pPr>
              <w:spacing w:after="0"/>
            </w:pPr>
            <w:r>
              <w:rPr>
                <w:sz w:val="16"/>
              </w:rPr>
              <w:t>Amplitude &gt; 10× régime normal ; défaut final documenté</w:t>
            </w:r>
          </w:p>
        </w:tc>
        <w:tc>
          <w:tcPr>
            <w:tcW w:type="dxa" w:w="3600"/>
            <w:tcMar>
              <w:top w:w="80" w:type="dxa"/>
              <w:start w:w="120" w:type="dxa"/>
              <w:bottom w:w="80" w:type="dxa"/>
              <w:end w:w="120" w:type="dxa"/>
            </w:tcMar>
            <w:vAlign w:val="top"/>
          </w:tcPr>
          <w:p>
            <w:pPr>
              <w:spacing w:after="0"/>
            </w:pPr>
            <w:r>
              <w:rPr>
                <w:sz w:val="16"/>
              </w:rPr>
              <w:t>Transfert principal roulement</w:t>
            </w:r>
          </w:p>
        </w:tc>
      </w:tr>
      <w:tr>
        <w:trPr>
          <w:cantSplit w:val="true"/>
        </w:trPr>
        <w:tc>
          <w:tcPr>
            <w:tcW w:type="dxa" w:w="2088"/>
            <w:tcMar>
              <w:top w:w="80" w:type="dxa"/>
              <w:start w:w="120" w:type="dxa"/>
              <w:bottom w:w="80" w:type="dxa"/>
              <w:end w:w="120" w:type="dxa"/>
            </w:tcMar>
            <w:vAlign w:val="top"/>
          </w:tcPr>
          <w:p>
            <w:pPr>
              <w:spacing w:after="0"/>
            </w:pPr>
            <w:r>
              <w:rPr>
                <w:sz w:val="16"/>
              </w:rPr>
              <w:t>NASA IMS</w:t>
            </w:r>
          </w:p>
        </w:tc>
        <w:tc>
          <w:tcPr>
            <w:tcW w:type="dxa" w:w="3960"/>
            <w:tcMar>
              <w:top w:w="80" w:type="dxa"/>
              <w:start w:w="120" w:type="dxa"/>
              <w:bottom w:w="80" w:type="dxa"/>
              <w:end w:w="120" w:type="dxa"/>
            </w:tcMar>
            <w:vAlign w:val="top"/>
          </w:tcPr>
          <w:p>
            <w:pPr>
              <w:spacing w:after="0"/>
            </w:pPr>
            <w:r>
              <w:rPr>
                <w:sz w:val="16"/>
              </w:rPr>
              <w:t>Défauts physiques finaux ; trois essais</w:t>
            </w:r>
          </w:p>
        </w:tc>
        <w:tc>
          <w:tcPr>
            <w:tcW w:type="dxa" w:w="3600"/>
            <w:tcMar>
              <w:top w:w="80" w:type="dxa"/>
              <w:start w:w="120" w:type="dxa"/>
              <w:bottom w:w="80" w:type="dxa"/>
              <w:end w:w="120" w:type="dxa"/>
            </w:tcMar>
            <w:vAlign w:val="top"/>
          </w:tcPr>
          <w:p>
            <w:pPr>
              <w:spacing w:after="0"/>
            </w:pPr>
            <w:r>
              <w:rPr>
                <w:sz w:val="16"/>
              </w:rPr>
              <w:t>Contrôle externe secondaire</w:t>
            </w:r>
          </w:p>
        </w:tc>
      </w:tr>
    </w:tbl>
    <w:p>
      <w:pPr>
        <w:spacing w:after="0"/>
      </w:pPr>
    </w:p>
    <w:p>
      <w:pPr>
        <w:pStyle w:val="ListBullet"/>
        <w:spacing w:after="40"/>
      </w:pPr>
      <w:r>
        <w:t>Le corpus NASA 26 packs est temporairement indisponible au téléchargement direct dans l’environnement actuel : ne rien simuler depuis les figures.</w:t>
      </w:r>
    </w:p>
    <w:p>
      <w:pPr>
        <w:pStyle w:val="ListBullet"/>
        <w:spacing w:after="40"/>
      </w:pPr>
      <w:r>
        <w:t>Séparer les groupes causaux : première et seconde vie d’une même cellule ne peuvent être réparties entre apprentissage et test.</w:t>
      </w:r>
    </w:p>
    <w:p>
      <w:pPr>
        <w:pStyle w:val="ListBullet"/>
        <w:spacing w:after="40"/>
      </w:pPr>
      <w:r>
        <w:t>Le premier passage NASA historique est un développement non aveugle ; une confirmation indépendante reste obligatoire.</w:t>
      </w:r>
    </w:p>
    <w:p>
      <w:pPr>
        <w:pStyle w:val="Heading1"/>
      </w:pPr>
      <w:r>
        <w:t>18. Audit GitHub — moteurs historiques et sélection de cadres</w:t>
      </w:r>
    </w:p>
    <w:p>
      <w:r>
        <w:t>Audit public réalisé le 6 août 2026 sur l’organisation GitHub Zoran-IA-Mimetique et les dépôts candidats principaux.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664"/>
            <w:shd w:fill="E8EEF5"/>
            <w:tcMar>
              <w:top w:w="80" w:type="dxa"/>
              <w:start w:w="120" w:type="dxa"/>
              <w:bottom w:w="80" w:type="dxa"/>
              <w:end w:w="120" w:type="dxa"/>
            </w:tcMar>
            <w:vAlign w:val="center"/>
          </w:tcPr>
          <w:p>
            <w:pPr>
              <w:spacing w:after="0"/>
            </w:pPr>
            <w:r>
              <w:rPr>
                <w:b/>
                <w:color w:val="1F4D78"/>
                <w:sz w:val="14"/>
              </w:rPr>
              <w:t>Élément retrouvé</w:t>
            </w:r>
          </w:p>
        </w:tc>
        <w:tc>
          <w:tcPr>
            <w:tcW w:type="dxa" w:w="3456"/>
            <w:shd w:fill="E8EEF5"/>
            <w:tcMar>
              <w:top w:w="80" w:type="dxa"/>
              <w:start w:w="120" w:type="dxa"/>
              <w:bottom w:w="80" w:type="dxa"/>
              <w:end w:w="120" w:type="dxa"/>
            </w:tcMar>
            <w:vAlign w:val="center"/>
          </w:tcPr>
          <w:p>
            <w:pPr>
              <w:spacing w:after="0"/>
            </w:pPr>
            <w:r>
              <w:rPr>
                <w:b/>
                <w:color w:val="1F4D78"/>
                <w:sz w:val="14"/>
              </w:rPr>
              <w:t>Ce qu’il fait</w:t>
            </w:r>
          </w:p>
        </w:tc>
        <w:tc>
          <w:tcPr>
            <w:tcW w:type="dxa" w:w="3528"/>
            <w:shd w:fill="E8EEF5"/>
            <w:tcMar>
              <w:top w:w="80" w:type="dxa"/>
              <w:start w:w="120" w:type="dxa"/>
              <w:bottom w:w="80" w:type="dxa"/>
              <w:end w:w="120" w:type="dxa"/>
            </w:tcMar>
            <w:vAlign w:val="center"/>
          </w:tcPr>
          <w:p>
            <w:pPr>
              <w:spacing w:after="0"/>
            </w:pPr>
            <w:r>
              <w:rPr>
                <w:b/>
                <w:color w:val="1F4D78"/>
                <w:sz w:val="14"/>
              </w:rPr>
              <w:t>Ce qu’il ne fait pas</w:t>
            </w:r>
          </w:p>
        </w:tc>
      </w:tr>
      <w:tr>
        <w:trPr>
          <w:cantSplit w:val="true"/>
        </w:trPr>
        <w:tc>
          <w:tcPr>
            <w:tcW w:type="dxa" w:w="2664"/>
            <w:tcMar>
              <w:top w:w="80" w:type="dxa"/>
              <w:start w:w="120" w:type="dxa"/>
              <w:bottom w:w="80" w:type="dxa"/>
              <w:end w:w="120" w:type="dxa"/>
            </w:tcMar>
            <w:vAlign w:val="top"/>
          </w:tcPr>
          <w:p>
            <w:pPr>
              <w:spacing w:after="0"/>
            </w:pPr>
            <w:r>
              <w:rPr>
                <w:sz w:val="14"/>
              </w:rPr>
              <w:t>Zoran Ω∞ Engine v1</w:t>
            </w:r>
          </w:p>
        </w:tc>
        <w:tc>
          <w:tcPr>
            <w:tcW w:type="dxa" w:w="3456"/>
            <w:tcMar>
              <w:top w:w="80" w:type="dxa"/>
              <w:start w:w="120" w:type="dxa"/>
              <w:bottom w:w="80" w:type="dxa"/>
              <w:end w:w="120" w:type="dxa"/>
            </w:tcMar>
            <w:vAlign w:val="top"/>
          </w:tcPr>
          <w:p>
            <w:pPr>
              <w:spacing w:after="0"/>
            </w:pPr>
            <w:r>
              <w:rPr>
                <w:sz w:val="14"/>
              </w:rPr>
              <w:t>META_ENGINE, PITON_PLUS, moteur universel de S</w:t>
            </w:r>
          </w:p>
        </w:tc>
        <w:tc>
          <w:tcPr>
            <w:tcW w:type="dxa" w:w="3528"/>
            <w:tcMar>
              <w:top w:w="80" w:type="dxa"/>
              <w:start w:w="120" w:type="dxa"/>
              <w:bottom w:w="80" w:type="dxa"/>
              <w:end w:w="120" w:type="dxa"/>
            </w:tcMar>
            <w:vAlign w:val="top"/>
          </w:tcPr>
          <w:p>
            <w:pPr>
              <w:spacing w:after="0"/>
            </w:pPr>
            <w:r>
              <w:rPr>
                <w:sz w:val="14"/>
              </w:rPr>
              <w:t>Pas de sélection de cadres physiques retrouvée</w:t>
            </w:r>
          </w:p>
        </w:tc>
      </w:tr>
      <w:tr>
        <w:trPr>
          <w:cantSplit w:val="true"/>
        </w:trPr>
        <w:tc>
          <w:tcPr>
            <w:tcW w:type="dxa" w:w="2664"/>
            <w:tcMar>
              <w:top w:w="80" w:type="dxa"/>
              <w:start w:w="120" w:type="dxa"/>
              <w:bottom w:w="80" w:type="dxa"/>
              <w:end w:w="120" w:type="dxa"/>
            </w:tcMar>
            <w:vAlign w:val="top"/>
          </w:tcPr>
          <w:p>
            <w:pPr>
              <w:spacing w:after="0"/>
            </w:pPr>
            <w:r>
              <w:rPr>
                <w:sz w:val="14"/>
              </w:rPr>
              <w:t>Universal Law Generator</w:t>
            </w:r>
          </w:p>
        </w:tc>
        <w:tc>
          <w:tcPr>
            <w:tcW w:type="dxa" w:w="3456"/>
            <w:tcMar>
              <w:top w:w="80" w:type="dxa"/>
              <w:start w:w="120" w:type="dxa"/>
              <w:bottom w:w="80" w:type="dxa"/>
              <w:end w:w="120" w:type="dxa"/>
            </w:tcMar>
            <w:vAlign w:val="top"/>
          </w:tcPr>
          <w:p>
            <w:pPr>
              <w:spacing w:after="0"/>
            </w:pPr>
            <w:r>
              <w:rPr>
                <w:sz w:val="14"/>
              </w:rPr>
              <w:t>compare, reformulate, decline, proof ; modules de génération</w:t>
            </w:r>
          </w:p>
        </w:tc>
        <w:tc>
          <w:tcPr>
            <w:tcW w:type="dxa" w:w="3528"/>
            <w:tcMar>
              <w:top w:w="80" w:type="dxa"/>
              <w:start w:w="120" w:type="dxa"/>
              <w:bottom w:w="80" w:type="dxa"/>
              <w:end w:w="120" w:type="dxa"/>
            </w:tcMar>
            <w:vAlign w:val="top"/>
          </w:tcPr>
          <w:p>
            <w:pPr>
              <w:spacing w:after="0"/>
            </w:pPr>
            <w:r>
              <w:rPr>
                <w:sz w:val="14"/>
              </w:rPr>
              <w:t>Pas un sélecteur de niveaux causaux</w:t>
            </w:r>
          </w:p>
        </w:tc>
      </w:tr>
      <w:tr>
        <w:trPr>
          <w:cantSplit w:val="true"/>
        </w:trPr>
        <w:tc>
          <w:tcPr>
            <w:tcW w:type="dxa" w:w="2664"/>
            <w:tcMar>
              <w:top w:w="80" w:type="dxa"/>
              <w:start w:w="120" w:type="dxa"/>
              <w:bottom w:w="80" w:type="dxa"/>
              <w:end w:w="120" w:type="dxa"/>
            </w:tcMar>
            <w:vAlign w:val="top"/>
          </w:tcPr>
          <w:p>
            <w:pPr>
              <w:spacing w:after="0"/>
            </w:pPr>
            <w:r>
              <w:rPr>
                <w:sz w:val="14"/>
              </w:rPr>
              <w:t>zoran_v11_release / ContextManager</w:t>
            </w:r>
          </w:p>
        </w:tc>
        <w:tc>
          <w:tcPr>
            <w:tcW w:type="dxa" w:w="3456"/>
            <w:tcMar>
              <w:top w:w="80" w:type="dxa"/>
              <w:start w:w="120" w:type="dxa"/>
              <w:bottom w:w="80" w:type="dxa"/>
              <w:end w:w="120" w:type="dxa"/>
            </w:tcMar>
            <w:vAlign w:val="top"/>
          </w:tcPr>
          <w:p>
            <w:pPr>
              <w:spacing w:after="0"/>
            </w:pPr>
            <w:r>
              <w:rPr>
                <w:sz w:val="14"/>
              </w:rPr>
              <w:t>Gère un dictionnaire de contexte</w:t>
            </w:r>
          </w:p>
        </w:tc>
        <w:tc>
          <w:tcPr>
            <w:tcW w:type="dxa" w:w="3528"/>
            <w:tcMar>
              <w:top w:w="80" w:type="dxa"/>
              <w:start w:w="120" w:type="dxa"/>
              <w:bottom w:w="80" w:type="dxa"/>
              <w:end w:w="120" w:type="dxa"/>
            </w:tcMar>
            <w:vAlign w:val="top"/>
          </w:tcPr>
          <w:p>
            <w:pPr>
              <w:spacing w:after="0"/>
            </w:pPr>
            <w:r>
              <w:rPr>
                <w:sz w:val="14"/>
              </w:rPr>
              <w:t>Ne choisit pas les cadres physiques pertinents</w:t>
            </w:r>
          </w:p>
        </w:tc>
      </w:tr>
      <w:tr>
        <w:trPr>
          <w:cantSplit w:val="true"/>
        </w:trPr>
        <w:tc>
          <w:tcPr>
            <w:tcW w:type="dxa" w:w="2664"/>
            <w:tcMar>
              <w:top w:w="80" w:type="dxa"/>
              <w:start w:w="120" w:type="dxa"/>
              <w:bottom w:w="80" w:type="dxa"/>
              <w:end w:w="120" w:type="dxa"/>
            </w:tcMar>
            <w:vAlign w:val="top"/>
          </w:tcPr>
          <w:p>
            <w:pPr>
              <w:spacing w:after="0"/>
            </w:pPr>
            <w:r>
              <w:rPr>
                <w:sz w:val="14"/>
              </w:rPr>
              <w:t>zoran_v11_release / FrameNet</w:t>
            </w:r>
          </w:p>
        </w:tc>
        <w:tc>
          <w:tcPr>
            <w:tcW w:type="dxa" w:w="3456"/>
            <w:tcMar>
              <w:top w:w="80" w:type="dxa"/>
              <w:start w:w="120" w:type="dxa"/>
              <w:bottom w:w="80" w:type="dxa"/>
              <w:end w:w="120" w:type="dxa"/>
            </w:tcMar>
            <w:vAlign w:val="top"/>
          </w:tcPr>
          <w:p>
            <w:pPr>
              <w:spacing w:after="0"/>
            </w:pPr>
            <w:r>
              <w:rPr>
                <w:sz w:val="14"/>
              </w:rPr>
              <w:t>PoC de cadres sémantiques par mots-clés</w:t>
            </w:r>
          </w:p>
        </w:tc>
        <w:tc>
          <w:tcPr>
            <w:tcW w:type="dxa" w:w="3528"/>
            <w:tcMar>
              <w:top w:w="80" w:type="dxa"/>
              <w:start w:w="120" w:type="dxa"/>
              <w:bottom w:w="80" w:type="dxa"/>
              <w:end w:w="120" w:type="dxa"/>
            </w:tcMar>
            <w:vAlign w:val="top"/>
          </w:tcPr>
          <w:p>
            <w:pPr>
              <w:spacing w:after="0"/>
            </w:pPr>
            <w:r>
              <w:rPr>
                <w:sz w:val="14"/>
              </w:rPr>
              <w:t>Explicitement simulation linguistique, pas physique</w:t>
            </w:r>
          </w:p>
        </w:tc>
      </w:tr>
      <w:tr>
        <w:trPr>
          <w:cantSplit w:val="true"/>
        </w:trPr>
        <w:tc>
          <w:tcPr>
            <w:tcW w:type="dxa" w:w="2664"/>
            <w:tcMar>
              <w:top w:w="80" w:type="dxa"/>
              <w:start w:w="120" w:type="dxa"/>
              <w:bottom w:w="80" w:type="dxa"/>
              <w:end w:w="120" w:type="dxa"/>
            </w:tcMar>
            <w:vAlign w:val="top"/>
          </w:tcPr>
          <w:p>
            <w:pPr>
              <w:spacing w:after="0"/>
            </w:pPr>
            <w:r>
              <w:rPr>
                <w:sz w:val="14"/>
              </w:rPr>
              <w:t>Zoran-Math-Integration / PolyResonator</w:t>
            </w:r>
          </w:p>
        </w:tc>
        <w:tc>
          <w:tcPr>
            <w:tcW w:type="dxa" w:w="3456"/>
            <w:tcMar>
              <w:top w:w="80" w:type="dxa"/>
              <w:start w:w="120" w:type="dxa"/>
              <w:bottom w:w="80" w:type="dxa"/>
              <w:end w:w="120" w:type="dxa"/>
            </w:tcMar>
            <w:vAlign w:val="top"/>
          </w:tcPr>
          <w:p>
            <w:pPr>
              <w:spacing w:after="0"/>
            </w:pPr>
            <w:r>
              <w:rPr>
                <w:sz w:val="14"/>
              </w:rPr>
              <w:t>Fichier présent</w:t>
            </w:r>
          </w:p>
        </w:tc>
        <w:tc>
          <w:tcPr>
            <w:tcW w:type="dxa" w:w="3528"/>
            <w:tcMar>
              <w:top w:w="80" w:type="dxa"/>
              <w:start w:w="120" w:type="dxa"/>
              <w:bottom w:w="80" w:type="dxa"/>
              <w:end w:w="120" w:type="dxa"/>
            </w:tcMar>
            <w:vAlign w:val="top"/>
          </w:tcPr>
          <w:p>
            <w:pPr>
              <w:spacing w:after="0"/>
            </w:pPr>
            <w:r>
              <w:rPr>
                <w:sz w:val="14"/>
              </w:rPr>
              <w:t>Contenu retrouvé : placeholder</w:t>
            </w:r>
          </w:p>
        </w:tc>
      </w:tr>
      <w:tr>
        <w:trPr>
          <w:cantSplit w:val="true"/>
        </w:trPr>
        <w:tc>
          <w:tcPr>
            <w:tcW w:type="dxa" w:w="2664"/>
            <w:tcMar>
              <w:top w:w="80" w:type="dxa"/>
              <w:start w:w="120" w:type="dxa"/>
              <w:bottom w:w="80" w:type="dxa"/>
              <w:end w:w="120" w:type="dxa"/>
            </w:tcMar>
            <w:vAlign w:val="top"/>
          </w:tcPr>
          <w:p>
            <w:pPr>
              <w:spacing w:after="0"/>
            </w:pPr>
            <w:r>
              <w:rPr>
                <w:sz w:val="14"/>
              </w:rPr>
              <w:t>Codex onze lois</w:t>
            </w:r>
          </w:p>
        </w:tc>
        <w:tc>
          <w:tcPr>
            <w:tcW w:type="dxa" w:w="3456"/>
            <w:tcMar>
              <w:top w:w="80" w:type="dxa"/>
              <w:start w:w="120" w:type="dxa"/>
              <w:bottom w:w="80" w:type="dxa"/>
              <w:end w:w="120" w:type="dxa"/>
            </w:tcMar>
            <w:vAlign w:val="top"/>
          </w:tcPr>
          <w:p>
            <w:pPr>
              <w:spacing w:after="0"/>
            </w:pPr>
            <w:r>
              <w:rPr>
                <w:sz w:val="14"/>
              </w:rPr>
              <w:t>Réunit onze lois annoncées</w:t>
            </w:r>
          </w:p>
        </w:tc>
        <w:tc>
          <w:tcPr>
            <w:tcW w:type="dxa" w:w="3528"/>
            <w:tcMar>
              <w:top w:w="80" w:type="dxa"/>
              <w:start w:w="120" w:type="dxa"/>
              <w:bottom w:w="80" w:type="dxa"/>
              <w:end w:w="120" w:type="dxa"/>
            </w:tcMar>
            <w:vAlign w:val="top"/>
          </w:tcPr>
          <w:p>
            <w:pPr>
              <w:spacing w:after="0"/>
            </w:pPr>
            <w:r>
              <w:rPr>
                <w:sz w:val="14"/>
              </w:rPr>
              <w:t>Onze lois ≠ onze moteurs exécutables</w:t>
            </w:r>
          </w:p>
        </w:tc>
      </w:tr>
      <w:tr>
        <w:trPr>
          <w:cantSplit w:val="true"/>
        </w:trPr>
        <w:tc>
          <w:tcPr>
            <w:tcW w:type="dxa" w:w="2664"/>
            <w:tcMar>
              <w:top w:w="80" w:type="dxa"/>
              <w:start w:w="120" w:type="dxa"/>
              <w:bottom w:w="80" w:type="dxa"/>
              <w:end w:w="120" w:type="dxa"/>
            </w:tcMar>
            <w:vAlign w:val="top"/>
          </w:tcPr>
          <w:p>
            <w:pPr>
              <w:spacing w:after="0"/>
            </w:pPr>
            <w:r>
              <w:rPr>
                <w:sz w:val="14"/>
              </w:rPr>
              <w:t>Moteur multicadres local v0</w:t>
            </w:r>
          </w:p>
        </w:tc>
        <w:tc>
          <w:tcPr>
            <w:tcW w:type="dxa" w:w="3456"/>
            <w:tcMar>
              <w:top w:w="80" w:type="dxa"/>
              <w:start w:w="120" w:type="dxa"/>
              <w:bottom w:w="80" w:type="dxa"/>
              <w:end w:w="120" w:type="dxa"/>
            </w:tcMar>
            <w:vAlign w:val="top"/>
          </w:tcPr>
          <w:p>
            <w:pPr>
              <w:spacing w:after="0"/>
            </w:pPr>
            <w:r>
              <w:rPr>
                <w:sz w:val="14"/>
              </w:rPr>
              <w:t>Viabilité, premier passage, portes, dominance de Pareto</w:t>
            </w:r>
          </w:p>
        </w:tc>
        <w:tc>
          <w:tcPr>
            <w:tcW w:type="dxa" w:w="3528"/>
            <w:tcMar>
              <w:top w:w="80" w:type="dxa"/>
              <w:start w:w="120" w:type="dxa"/>
              <w:bottom w:w="80" w:type="dxa"/>
              <w:end w:w="120" w:type="dxa"/>
            </w:tcMar>
            <w:vAlign w:val="top"/>
          </w:tcPr>
          <w:p>
            <w:pPr>
              <w:spacing w:after="0"/>
            </w:pPr>
            <w:r>
              <w:rPr>
                <w:sz w:val="14"/>
              </w:rPr>
              <w:t>Ne sélectionne pas encore automatiquement la hiérarchie</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10166"/>
            <w:shd w:fill="FFF2CC"/>
            <w:tcMar>
              <w:top w:w="120" w:type="dxa"/>
              <w:start w:w="160" w:type="dxa"/>
              <w:bottom w:w="120" w:type="dxa"/>
              <w:end w:w="160" w:type="dxa"/>
            </w:tcMar>
          </w:tcPr>
          <w:p>
            <w:pPr>
              <w:spacing w:after="60"/>
            </w:pPr>
            <w:r>
              <w:rPr>
                <w:b/>
                <w:color w:val="1F4D78"/>
              </w:rPr>
              <w:t>CONCLUSION D’AUDIT</w:t>
            </w:r>
          </w:p>
          <w:p>
            <w:pPr>
              <w:spacing w:after="0"/>
            </w:pPr>
            <w:r>
              <w:t>Aucun fichier public inspecté ne justifie l’affirmation qu’un « sélecteur parfait de cadres physiques » opérationnel a été retrouvé. Il peut exister dans un autre dépôt ou une archive non indexée ; son statut est NON RETROUVÉ, pas inexistant. Ne pas le réécrire aveuglément : ajouter d’abord au moteur actuel un module minimal de promotion des cadres selon les sept critères de la section 12.</w:t>
            </w:r>
          </w:p>
        </w:tc>
      </w:tr>
    </w:tbl>
    <w:p>
      <w:pPr>
        <w:spacing w:after="0"/>
      </w:pPr>
    </w:p>
    <w:p>
      <w:pPr>
        <w:spacing w:after="40"/>
      </w:pPr>
      <w:r>
        <w:rPr>
          <w:b/>
        </w:rPr>
        <w:t xml:space="preserve">Organisation GitHub — </w:t>
      </w:r>
      <w:hyperlink r:id="rId18">
        <w:r>
          <w:rPr>
            <w:color w:val="2E74B5"/>
            <w:u w:val="single"/>
          </w:rPr>
          <w:t>https://github.com/Zoran-IA-Mimetique</w:t>
        </w:r>
      </w:hyperlink>
    </w:p>
    <w:p>
      <w:pPr>
        <w:spacing w:after="40"/>
      </w:pPr>
      <w:r>
        <w:rPr>
          <w:b/>
        </w:rPr>
        <w:t xml:space="preserve">Zoran Ω∞ Engine v1 — </w:t>
      </w:r>
      <w:hyperlink r:id="rId19">
        <w:r>
          <w:rPr>
            <w:color w:val="2E74B5"/>
            <w:u w:val="single"/>
          </w:rPr>
          <w:t>https://github.com/Zoran-IA-Mimetique/Zoran-Omega-Infinite-Engine-v1</w:t>
        </w:r>
      </w:hyperlink>
    </w:p>
    <w:p>
      <w:pPr>
        <w:spacing w:after="40"/>
      </w:pPr>
      <w:r>
        <w:rPr>
          <w:b/>
        </w:rPr>
        <w:t xml:space="preserve">Universal Law Generator — </w:t>
      </w:r>
      <w:hyperlink r:id="rId20">
        <w:r>
          <w:rPr>
            <w:color w:val="2E74B5"/>
            <w:u w:val="single"/>
          </w:rPr>
          <w:t>https://github.com/Zoran-IA-Mimetique/Le-moteur-genereration-de-lois-fondamentales-de-Zoran</w:t>
        </w:r>
      </w:hyperlink>
    </w:p>
    <w:p>
      <w:pPr>
        <w:spacing w:after="40"/>
      </w:pPr>
      <w:r>
        <w:rPr>
          <w:b/>
        </w:rPr>
        <w:t xml:space="preserve">Release v11 — </w:t>
      </w:r>
      <w:hyperlink r:id="rId21">
        <w:r>
          <w:rPr>
            <w:color w:val="2E74B5"/>
            <w:u w:val="single"/>
          </w:rPr>
          <w:t>https://github.com/Zoran-IA-Mimetique/zoran_v11_release</w:t>
        </w:r>
      </w:hyperlink>
    </w:p>
    <w:p>
      <w:pPr>
        <w:spacing w:after="40"/>
      </w:pPr>
      <w:r>
        <w:rPr>
          <w:b/>
        </w:rPr>
        <w:t xml:space="preserve">Intégration mathématique — </w:t>
      </w:r>
      <w:hyperlink r:id="rId22">
        <w:r>
          <w:rPr>
            <w:color w:val="2E74B5"/>
            <w:u w:val="single"/>
          </w:rPr>
          <w:t>https://github.com/Zoran-IA-Mimetique/Zoran-Math-Integration</w:t>
        </w:r>
      </w:hyperlink>
    </w:p>
    <w:p>
      <w:pPr>
        <w:spacing w:after="40"/>
      </w:pPr>
      <w:r>
        <w:rPr>
          <w:b/>
        </w:rPr>
        <w:t xml:space="preserve">Codex onze lois — </w:t>
      </w:r>
      <w:hyperlink r:id="rId23">
        <w:r>
          <w:rPr>
            <w:color w:val="2E74B5"/>
            <w:u w:val="single"/>
          </w:rPr>
          <w:t>https://github.com/Zoran-IA-Mimetique/Codex-Zoran-Toutes-les-lois-de-Zoran-</w:t>
        </w:r>
      </w:hyperlink>
    </w:p>
    <w:p>
      <w:pPr>
        <w:pStyle w:val="Heading1"/>
      </w:pPr>
      <w:r>
        <w:t>19. Inventaire local scellé</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4752"/>
            <w:shd w:fill="E8EEF5"/>
            <w:tcMar>
              <w:top w:w="80" w:type="dxa"/>
              <w:start w:w="120" w:type="dxa"/>
              <w:bottom w:w="80" w:type="dxa"/>
              <w:end w:w="120" w:type="dxa"/>
            </w:tcMar>
            <w:vAlign w:val="center"/>
          </w:tcPr>
          <w:p>
            <w:pPr>
              <w:spacing w:after="0"/>
            </w:pPr>
            <w:r>
              <w:rPr>
                <w:b/>
                <w:color w:val="1F4D78"/>
                <w:sz w:val="14"/>
              </w:rPr>
              <w:t>Fichier</w:t>
            </w:r>
          </w:p>
        </w:tc>
        <w:tc>
          <w:tcPr>
            <w:tcW w:type="dxa" w:w="2376"/>
            <w:shd w:fill="E8EEF5"/>
            <w:tcMar>
              <w:top w:w="80" w:type="dxa"/>
              <w:start w:w="120" w:type="dxa"/>
              <w:bottom w:w="80" w:type="dxa"/>
              <w:end w:w="120" w:type="dxa"/>
            </w:tcMar>
            <w:vAlign w:val="center"/>
          </w:tcPr>
          <w:p>
            <w:pPr>
              <w:spacing w:after="0"/>
            </w:pPr>
            <w:r>
              <w:rPr>
                <w:b/>
                <w:color w:val="1F4D78"/>
                <w:sz w:val="14"/>
              </w:rPr>
              <w:t>SHA‑256</w:t>
            </w:r>
          </w:p>
        </w:tc>
        <w:tc>
          <w:tcPr>
            <w:tcW w:type="dxa" w:w="2520"/>
            <w:shd w:fill="E8EEF5"/>
            <w:tcMar>
              <w:top w:w="80" w:type="dxa"/>
              <w:start w:w="120" w:type="dxa"/>
              <w:bottom w:w="80" w:type="dxa"/>
              <w:end w:w="120" w:type="dxa"/>
            </w:tcMar>
            <w:vAlign w:val="center"/>
          </w:tcPr>
          <w:p>
            <w:pPr>
              <w:spacing w:after="0"/>
            </w:pPr>
            <w:r>
              <w:rPr>
                <w:b/>
                <w:color w:val="1F4D78"/>
                <w:sz w:val="14"/>
              </w:rPr>
              <w:t>Rôle</w:t>
            </w:r>
          </w:p>
        </w:tc>
      </w:tr>
      <w:tr>
        <w:trPr>
          <w:cantSplit w:val="true"/>
        </w:trPr>
        <w:tc>
          <w:tcPr>
            <w:tcW w:type="dxa" w:w="4752"/>
            <w:tcMar>
              <w:top w:w="80" w:type="dxa"/>
              <w:start w:w="120" w:type="dxa"/>
              <w:bottom w:w="80" w:type="dxa"/>
              <w:end w:w="120" w:type="dxa"/>
            </w:tcMar>
            <w:vAlign w:val="top"/>
          </w:tcPr>
          <w:p>
            <w:pPr>
              <w:spacing w:after="0"/>
            </w:pPr>
            <w:r>
              <w:rPr>
                <w:sz w:val="14"/>
              </w:rPr>
              <w:t>ZORAN_ADDENDUM_RECUL_MULTICADRES_VIABILITE_v1_2026-08-06.md</w:t>
            </w:r>
          </w:p>
        </w:tc>
        <w:tc>
          <w:tcPr>
            <w:tcW w:type="dxa" w:w="2376"/>
            <w:tcMar>
              <w:top w:w="80" w:type="dxa"/>
              <w:start w:w="120" w:type="dxa"/>
              <w:bottom w:w="80" w:type="dxa"/>
              <w:end w:w="120" w:type="dxa"/>
            </w:tcMar>
            <w:vAlign w:val="top"/>
          </w:tcPr>
          <w:p>
            <w:pPr>
              <w:spacing w:after="0"/>
            </w:pPr>
            <w:r>
              <w:rPr>
                <w:sz w:val="14"/>
              </w:rPr>
              <w:t>68e084ec…c8f1</w:t>
            </w:r>
          </w:p>
        </w:tc>
        <w:tc>
          <w:tcPr>
            <w:tcW w:type="dxa" w:w="2520"/>
            <w:tcMar>
              <w:top w:w="80" w:type="dxa"/>
              <w:start w:w="120" w:type="dxa"/>
              <w:bottom w:w="80" w:type="dxa"/>
              <w:end w:w="120" w:type="dxa"/>
            </w:tcMar>
            <w:vAlign w:val="top"/>
          </w:tcPr>
          <w:p>
            <w:pPr>
              <w:spacing w:after="0"/>
            </w:pPr>
            <w:r>
              <w:rPr>
                <w:sz w:val="14"/>
              </w:rPr>
              <w:t>Correction de catégorie</w:t>
            </w:r>
          </w:p>
        </w:tc>
      </w:tr>
      <w:tr>
        <w:trPr>
          <w:cantSplit w:val="true"/>
        </w:trPr>
        <w:tc>
          <w:tcPr>
            <w:tcW w:type="dxa" w:w="4752"/>
            <w:tcMar>
              <w:top w:w="80" w:type="dxa"/>
              <w:start w:w="120" w:type="dxa"/>
              <w:bottom w:w="80" w:type="dxa"/>
              <w:end w:w="120" w:type="dxa"/>
            </w:tcMar>
            <w:vAlign w:val="top"/>
          </w:tcPr>
          <w:p>
            <w:pPr>
              <w:spacing w:after="0"/>
            </w:pPr>
            <w:r>
              <w:rPr>
                <w:sz w:val="14"/>
              </w:rPr>
              <w:t>zoran_moteur_viabilite_multicadres_v0.py</w:t>
            </w:r>
          </w:p>
        </w:tc>
        <w:tc>
          <w:tcPr>
            <w:tcW w:type="dxa" w:w="2376"/>
            <w:tcMar>
              <w:top w:w="80" w:type="dxa"/>
              <w:start w:w="120" w:type="dxa"/>
              <w:bottom w:w="80" w:type="dxa"/>
              <w:end w:w="120" w:type="dxa"/>
            </w:tcMar>
            <w:vAlign w:val="top"/>
          </w:tcPr>
          <w:p>
            <w:pPr>
              <w:spacing w:after="0"/>
            </w:pPr>
            <w:r>
              <w:rPr>
                <w:sz w:val="14"/>
              </w:rPr>
              <w:t>89c03e21…a4aa</w:t>
            </w:r>
          </w:p>
        </w:tc>
        <w:tc>
          <w:tcPr>
            <w:tcW w:type="dxa" w:w="2520"/>
            <w:tcMar>
              <w:top w:w="80" w:type="dxa"/>
              <w:start w:w="120" w:type="dxa"/>
              <w:bottom w:w="80" w:type="dxa"/>
              <w:end w:w="120" w:type="dxa"/>
            </w:tcMar>
            <w:vAlign w:val="top"/>
          </w:tcPr>
          <w:p>
            <w:pPr>
              <w:spacing w:after="0"/>
            </w:pPr>
            <w:r>
              <w:rPr>
                <w:sz w:val="14"/>
              </w:rPr>
              <w:t>Noyau générique</w:t>
            </w:r>
          </w:p>
        </w:tc>
      </w:tr>
      <w:tr>
        <w:trPr>
          <w:cantSplit w:val="true"/>
        </w:trPr>
        <w:tc>
          <w:tcPr>
            <w:tcW w:type="dxa" w:w="4752"/>
            <w:tcMar>
              <w:top w:w="80" w:type="dxa"/>
              <w:start w:w="120" w:type="dxa"/>
              <w:bottom w:w="80" w:type="dxa"/>
              <w:end w:w="120" w:type="dxa"/>
            </w:tcMar>
            <w:vAlign w:val="top"/>
          </w:tcPr>
          <w:p>
            <w:pPr>
              <w:spacing w:after="0"/>
            </w:pPr>
            <w:r>
              <w:rPr>
                <w:sz w:val="14"/>
              </w:rPr>
              <w:t>test_zoran_moteur_viabilite_multicadres_v0.py</w:t>
            </w:r>
          </w:p>
        </w:tc>
        <w:tc>
          <w:tcPr>
            <w:tcW w:type="dxa" w:w="2376"/>
            <w:tcMar>
              <w:top w:w="80" w:type="dxa"/>
              <w:start w:w="120" w:type="dxa"/>
              <w:bottom w:w="80" w:type="dxa"/>
              <w:end w:w="120" w:type="dxa"/>
            </w:tcMar>
            <w:vAlign w:val="top"/>
          </w:tcPr>
          <w:p>
            <w:pPr>
              <w:spacing w:after="0"/>
            </w:pPr>
            <w:r>
              <w:rPr>
                <w:sz w:val="14"/>
              </w:rPr>
              <w:t>ead0a1f2…e371</w:t>
            </w:r>
          </w:p>
        </w:tc>
        <w:tc>
          <w:tcPr>
            <w:tcW w:type="dxa" w:w="2520"/>
            <w:tcMar>
              <w:top w:w="80" w:type="dxa"/>
              <w:start w:w="120" w:type="dxa"/>
              <w:bottom w:w="80" w:type="dxa"/>
              <w:end w:w="120" w:type="dxa"/>
            </w:tcMar>
            <w:vAlign w:val="top"/>
          </w:tcPr>
          <w:p>
            <w:pPr>
              <w:spacing w:after="0"/>
            </w:pPr>
            <w:r>
              <w:rPr>
                <w:sz w:val="14"/>
              </w:rPr>
              <w:t>7 tests unitaires</w:t>
            </w:r>
          </w:p>
        </w:tc>
      </w:tr>
      <w:tr>
        <w:trPr>
          <w:cantSplit w:val="true"/>
        </w:trPr>
        <w:tc>
          <w:tcPr>
            <w:tcW w:type="dxa" w:w="4752"/>
            <w:tcMar>
              <w:top w:w="80" w:type="dxa"/>
              <w:start w:w="120" w:type="dxa"/>
              <w:bottom w:w="80" w:type="dxa"/>
              <w:end w:w="120" w:type="dxa"/>
            </w:tcMar>
            <w:vAlign w:val="top"/>
          </w:tcPr>
          <w:p>
            <w:pPr>
              <w:spacing w:after="0"/>
            </w:pPr>
            <w:r>
              <w:rPr>
                <w:sz w:val="14"/>
              </w:rPr>
              <w:t>ZORAN_PREREG_NASA_BATTERIES_PREMIER_PASSAGE_v0_2026-08-06.md</w:t>
            </w:r>
          </w:p>
        </w:tc>
        <w:tc>
          <w:tcPr>
            <w:tcW w:type="dxa" w:w="2376"/>
            <w:tcMar>
              <w:top w:w="80" w:type="dxa"/>
              <w:start w:w="120" w:type="dxa"/>
              <w:bottom w:w="80" w:type="dxa"/>
              <w:end w:w="120" w:type="dxa"/>
            </w:tcMar>
            <w:vAlign w:val="top"/>
          </w:tcPr>
          <w:p>
            <w:pPr>
              <w:spacing w:after="0"/>
            </w:pPr>
            <w:r>
              <w:rPr>
                <w:sz w:val="14"/>
              </w:rPr>
              <w:t>f7e79fbd…95b0</w:t>
            </w:r>
          </w:p>
        </w:tc>
        <w:tc>
          <w:tcPr>
            <w:tcW w:type="dxa" w:w="2520"/>
            <w:tcMar>
              <w:top w:w="80" w:type="dxa"/>
              <w:start w:w="120" w:type="dxa"/>
              <w:bottom w:w="80" w:type="dxa"/>
              <w:end w:w="120" w:type="dxa"/>
            </w:tcMar>
            <w:vAlign w:val="top"/>
          </w:tcPr>
          <w:p>
            <w:pPr>
              <w:spacing w:after="0"/>
            </w:pPr>
            <w:r>
              <w:rPr>
                <w:sz w:val="14"/>
              </w:rPr>
              <w:t>Pré-enregistrement batterie</w:t>
            </w:r>
          </w:p>
        </w:tc>
      </w:tr>
      <w:tr>
        <w:trPr>
          <w:cantSplit w:val="true"/>
        </w:trPr>
        <w:tc>
          <w:tcPr>
            <w:tcW w:type="dxa" w:w="4752"/>
            <w:tcMar>
              <w:top w:w="80" w:type="dxa"/>
              <w:start w:w="120" w:type="dxa"/>
              <w:bottom w:w="80" w:type="dxa"/>
              <w:end w:w="120" w:type="dxa"/>
            </w:tcMar>
            <w:vAlign w:val="top"/>
          </w:tcPr>
          <w:p>
            <w:pPr>
              <w:spacing w:after="0"/>
            </w:pPr>
            <w:r>
              <w:rPr>
                <w:sz w:val="14"/>
              </w:rPr>
              <w:t>ZORAN_NOTE_SELECTION_CORPUS_VIABILITE_MEMOIRE_2026-08-06.md</w:t>
            </w:r>
          </w:p>
        </w:tc>
        <w:tc>
          <w:tcPr>
            <w:tcW w:type="dxa" w:w="2376"/>
            <w:tcMar>
              <w:top w:w="80" w:type="dxa"/>
              <w:start w:w="120" w:type="dxa"/>
              <w:bottom w:w="80" w:type="dxa"/>
              <w:end w:w="120" w:type="dxa"/>
            </w:tcMar>
            <w:vAlign w:val="top"/>
          </w:tcPr>
          <w:p>
            <w:pPr>
              <w:spacing w:after="0"/>
            </w:pPr>
            <w:r>
              <w:rPr>
                <w:sz w:val="14"/>
              </w:rPr>
              <w:t>2e7ea05d…7dd0</w:t>
            </w:r>
          </w:p>
        </w:tc>
        <w:tc>
          <w:tcPr>
            <w:tcW w:type="dxa" w:w="2520"/>
            <w:tcMar>
              <w:top w:w="80" w:type="dxa"/>
              <w:start w:w="120" w:type="dxa"/>
              <w:bottom w:w="80" w:type="dxa"/>
              <w:end w:w="120" w:type="dxa"/>
            </w:tcMar>
            <w:vAlign w:val="top"/>
          </w:tcPr>
          <w:p>
            <w:pPr>
              <w:spacing w:after="0"/>
            </w:pPr>
            <w:r>
              <w:rPr>
                <w:sz w:val="14"/>
              </w:rPr>
              <w:t>Choix corpus</w:t>
            </w:r>
          </w:p>
        </w:tc>
      </w:tr>
      <w:tr>
        <w:trPr>
          <w:cantSplit w:val="true"/>
        </w:trPr>
        <w:tc>
          <w:tcPr>
            <w:tcW w:type="dxa" w:w="4752"/>
            <w:tcMar>
              <w:top w:w="80" w:type="dxa"/>
              <w:start w:w="120" w:type="dxa"/>
              <w:bottom w:w="80" w:type="dxa"/>
              <w:end w:w="120" w:type="dxa"/>
            </w:tcMar>
            <w:vAlign w:val="top"/>
          </w:tcPr>
          <w:p>
            <w:pPr>
              <w:spacing w:after="0"/>
            </w:pPr>
            <w:r>
              <w:rPr>
                <w:sz w:val="14"/>
              </w:rPr>
              <w:t>restored/zoran_moteur_equivalence_universel_v0.py</w:t>
            </w:r>
          </w:p>
        </w:tc>
        <w:tc>
          <w:tcPr>
            <w:tcW w:type="dxa" w:w="2376"/>
            <w:tcMar>
              <w:top w:w="80" w:type="dxa"/>
              <w:start w:w="120" w:type="dxa"/>
              <w:bottom w:w="80" w:type="dxa"/>
              <w:end w:w="120" w:type="dxa"/>
            </w:tcMar>
            <w:vAlign w:val="top"/>
          </w:tcPr>
          <w:p>
            <w:pPr>
              <w:spacing w:after="0"/>
            </w:pPr>
            <w:r>
              <w:rPr>
                <w:sz w:val="14"/>
              </w:rPr>
              <w:t>0c47d7ea…e58</w:t>
            </w:r>
          </w:p>
        </w:tc>
        <w:tc>
          <w:tcPr>
            <w:tcW w:type="dxa" w:w="2520"/>
            <w:tcMar>
              <w:top w:w="80" w:type="dxa"/>
              <w:start w:w="120" w:type="dxa"/>
              <w:bottom w:w="80" w:type="dxa"/>
              <w:end w:w="120" w:type="dxa"/>
            </w:tcMar>
            <w:vAlign w:val="top"/>
          </w:tcPr>
          <w:p>
            <w:pPr>
              <w:spacing w:after="0"/>
            </w:pPr>
            <w:r>
              <w:rPr>
                <w:sz w:val="14"/>
              </w:rPr>
              <w:t>Moteur générique historique</w:t>
            </w:r>
          </w:p>
        </w:tc>
      </w:tr>
      <w:tr>
        <w:trPr>
          <w:cantSplit w:val="true"/>
        </w:trPr>
        <w:tc>
          <w:tcPr>
            <w:tcW w:type="dxa" w:w="4752"/>
            <w:tcMar>
              <w:top w:w="80" w:type="dxa"/>
              <w:start w:w="120" w:type="dxa"/>
              <w:bottom w:w="80" w:type="dxa"/>
              <w:end w:w="120" w:type="dxa"/>
            </w:tcMar>
            <w:vAlign w:val="top"/>
          </w:tcPr>
          <w:p>
            <w:pPr>
              <w:spacing w:after="0"/>
            </w:pPr>
            <w:r>
              <w:rPr>
                <w:sz w:val="14"/>
              </w:rPr>
              <w:t>zoran_test_transversal_equivalence_v0.py</w:t>
            </w:r>
          </w:p>
        </w:tc>
        <w:tc>
          <w:tcPr>
            <w:tcW w:type="dxa" w:w="2376"/>
            <w:tcMar>
              <w:top w:w="80" w:type="dxa"/>
              <w:start w:w="120" w:type="dxa"/>
              <w:bottom w:w="80" w:type="dxa"/>
              <w:end w:w="120" w:type="dxa"/>
            </w:tcMar>
            <w:vAlign w:val="top"/>
          </w:tcPr>
          <w:p>
            <w:pPr>
              <w:spacing w:after="0"/>
            </w:pPr>
            <w:r>
              <w:rPr>
                <w:sz w:val="14"/>
              </w:rPr>
              <w:t>9138198d…eedd</w:t>
            </w:r>
          </w:p>
        </w:tc>
        <w:tc>
          <w:tcPr>
            <w:tcW w:type="dxa" w:w="2520"/>
            <w:tcMar>
              <w:top w:w="80" w:type="dxa"/>
              <w:start w:w="120" w:type="dxa"/>
              <w:bottom w:w="80" w:type="dxa"/>
              <w:end w:w="120" w:type="dxa"/>
            </w:tcMar>
            <w:vAlign w:val="top"/>
          </w:tcPr>
          <w:p>
            <w:pPr>
              <w:spacing w:after="0"/>
            </w:pPr>
            <w:r>
              <w:rPr>
                <w:sz w:val="14"/>
              </w:rPr>
              <w:t>Test transversal synthétique</w:t>
            </w:r>
          </w:p>
        </w:tc>
      </w:tr>
      <w:tr>
        <w:trPr>
          <w:cantSplit w:val="true"/>
        </w:trPr>
        <w:tc>
          <w:tcPr>
            <w:tcW w:type="dxa" w:w="4752"/>
            <w:tcMar>
              <w:top w:w="80" w:type="dxa"/>
              <w:start w:w="120" w:type="dxa"/>
              <w:bottom w:w="80" w:type="dxa"/>
              <w:end w:w="120" w:type="dxa"/>
            </w:tcMar>
            <w:vAlign w:val="top"/>
          </w:tcPr>
          <w:p>
            <w:pPr>
              <w:spacing w:after="0"/>
            </w:pPr>
            <w:r>
              <w:rPr>
                <w:sz w:val="14"/>
              </w:rPr>
              <w:t>zoran_pronostia_calibration_pilot_v0.py</w:t>
            </w:r>
          </w:p>
        </w:tc>
        <w:tc>
          <w:tcPr>
            <w:tcW w:type="dxa" w:w="2376"/>
            <w:tcMar>
              <w:top w:w="80" w:type="dxa"/>
              <w:start w:w="120" w:type="dxa"/>
              <w:bottom w:w="80" w:type="dxa"/>
              <w:end w:w="120" w:type="dxa"/>
            </w:tcMar>
            <w:vAlign w:val="top"/>
          </w:tcPr>
          <w:p>
            <w:pPr>
              <w:spacing w:after="0"/>
            </w:pPr>
            <w:r>
              <w:rPr>
                <w:sz w:val="14"/>
              </w:rPr>
              <w:t>c7958cbe…28b7</w:t>
            </w:r>
          </w:p>
        </w:tc>
        <w:tc>
          <w:tcPr>
            <w:tcW w:type="dxa" w:w="2520"/>
            <w:tcMar>
              <w:top w:w="80" w:type="dxa"/>
              <w:start w:w="120" w:type="dxa"/>
              <w:bottom w:w="80" w:type="dxa"/>
              <w:end w:w="120" w:type="dxa"/>
            </w:tcMar>
            <w:vAlign w:val="top"/>
          </w:tcPr>
          <w:p>
            <w:pPr>
              <w:spacing w:after="0"/>
            </w:pPr>
            <w:r>
              <w:rPr>
                <w:sz w:val="14"/>
              </w:rPr>
              <w:t>Pilote scalaire</w:t>
            </w:r>
          </w:p>
        </w:tc>
      </w:tr>
      <w:tr>
        <w:trPr>
          <w:cantSplit w:val="true"/>
        </w:trPr>
        <w:tc>
          <w:tcPr>
            <w:tcW w:type="dxa" w:w="4752"/>
            <w:tcMar>
              <w:top w:w="80" w:type="dxa"/>
              <w:start w:w="120" w:type="dxa"/>
              <w:bottom w:w="80" w:type="dxa"/>
              <w:end w:w="120" w:type="dxa"/>
            </w:tcMar>
            <w:vAlign w:val="top"/>
          </w:tcPr>
          <w:p>
            <w:pPr>
              <w:spacing w:after="0"/>
            </w:pPr>
            <w:r>
              <w:rPr>
                <w:sz w:val="14"/>
              </w:rPr>
              <w:t>zoran_pronostia_thermal_extension_v0.py</w:t>
            </w:r>
          </w:p>
        </w:tc>
        <w:tc>
          <w:tcPr>
            <w:tcW w:type="dxa" w:w="2376"/>
            <w:tcMar>
              <w:top w:w="80" w:type="dxa"/>
              <w:start w:w="120" w:type="dxa"/>
              <w:bottom w:w="80" w:type="dxa"/>
              <w:end w:w="120" w:type="dxa"/>
            </w:tcMar>
            <w:vAlign w:val="top"/>
          </w:tcPr>
          <w:p>
            <w:pPr>
              <w:spacing w:after="0"/>
            </w:pPr>
            <w:r>
              <w:rPr>
                <w:sz w:val="14"/>
              </w:rPr>
              <w:t>c08e5c41…471f</w:t>
            </w:r>
          </w:p>
        </w:tc>
        <w:tc>
          <w:tcPr>
            <w:tcW w:type="dxa" w:w="2520"/>
            <w:tcMar>
              <w:top w:w="80" w:type="dxa"/>
              <w:start w:w="120" w:type="dxa"/>
              <w:bottom w:w="80" w:type="dxa"/>
              <w:end w:w="120" w:type="dxa"/>
            </w:tcMar>
            <w:vAlign w:val="top"/>
          </w:tcPr>
          <w:p>
            <w:pPr>
              <w:spacing w:after="0"/>
            </w:pPr>
            <w:r>
              <w:rPr>
                <w:sz w:val="14"/>
              </w:rPr>
              <w:t>Extension thermique</w:t>
            </w:r>
          </w:p>
        </w:tc>
      </w:tr>
      <w:tr>
        <w:trPr>
          <w:cantSplit w:val="true"/>
        </w:trPr>
        <w:tc>
          <w:tcPr>
            <w:tcW w:type="dxa" w:w="4752"/>
            <w:tcMar>
              <w:top w:w="80" w:type="dxa"/>
              <w:start w:w="120" w:type="dxa"/>
              <w:bottom w:w="80" w:type="dxa"/>
              <w:end w:w="120" w:type="dxa"/>
            </w:tcMar>
            <w:vAlign w:val="top"/>
          </w:tcPr>
          <w:p>
            <w:pPr>
              <w:spacing w:after="0"/>
            </w:pPr>
            <w:r>
              <w:rPr>
                <w:sz w:val="14"/>
              </w:rPr>
              <w:t>zoran_pronostia_profil_vectoriel_v1.py</w:t>
            </w:r>
          </w:p>
        </w:tc>
        <w:tc>
          <w:tcPr>
            <w:tcW w:type="dxa" w:w="2376"/>
            <w:tcMar>
              <w:top w:w="80" w:type="dxa"/>
              <w:start w:w="120" w:type="dxa"/>
              <w:bottom w:w="80" w:type="dxa"/>
              <w:end w:w="120" w:type="dxa"/>
            </w:tcMar>
            <w:vAlign w:val="top"/>
          </w:tcPr>
          <w:p>
            <w:pPr>
              <w:spacing w:after="0"/>
            </w:pPr>
            <w:r>
              <w:rPr>
                <w:sz w:val="14"/>
              </w:rPr>
              <w:t>f907ebfc…d8a0</w:t>
            </w:r>
          </w:p>
        </w:tc>
        <w:tc>
          <w:tcPr>
            <w:tcW w:type="dxa" w:w="2520"/>
            <w:tcMar>
              <w:top w:w="80" w:type="dxa"/>
              <w:start w:w="120" w:type="dxa"/>
              <w:bottom w:w="80" w:type="dxa"/>
              <w:end w:w="120" w:type="dxa"/>
            </w:tcMar>
            <w:vAlign w:val="top"/>
          </w:tcPr>
          <w:p>
            <w:pPr>
              <w:spacing w:after="0"/>
            </w:pPr>
            <w:r>
              <w:rPr>
                <w:sz w:val="14"/>
              </w:rPr>
              <w:t>Profil vectoriel</w:t>
            </w:r>
          </w:p>
        </w:tc>
      </w:tr>
    </w:tbl>
    <w:p>
      <w:pPr>
        <w:spacing w:after="0"/>
      </w:pPr>
    </w:p>
    <w:p>
      <w:pPr>
        <w:pStyle w:val="Smallnote"/>
      </w:pPr>
      <w:r>
        <w:t>Les empreintes complètes doivent être recalculées avant publication ou transfert externe. Le présent tableau abrège les hash pour la lecture.</w:t>
      </w:r>
    </w:p>
    <w:p>
      <w:pPr>
        <w:pStyle w:val="Heading1"/>
      </w:pPr>
      <w:r>
        <w:t>20. Ordre de travail verrouillé</w:t>
      </w:r>
    </w:p>
    <w:p>
      <w:pPr>
        <w:pStyle w:val="ListNumber"/>
        <w:numPr>
          <w:ilvl w:val="0"/>
          <w:numId w:val="11"/>
        </w:numPr>
        <w:spacing w:after="40"/>
      </w:pPr>
      <w:r>
        <w:t>Ajouter au moteur multicadres un objet CadreCausal et une fonction proposer/promotionner les cadres selon les sept critères, sans prétendre à la perfection.</w:t>
      </w:r>
    </w:p>
    <w:p>
      <w:pPr>
        <w:pStyle w:val="ListNumber"/>
        <w:numPr>
          <w:ilvl w:val="0"/>
          <w:numId w:val="11"/>
        </w:numPr>
        <w:spacing w:after="40"/>
      </w:pPr>
      <w:r>
        <w:t>Construire un cas jouet roulement avec R0 bille, R1 voisinage, R3 roulement, R4 machine et R5 planète ; garder R2 antipodal comme relation diagnostique.</w:t>
      </w:r>
    </w:p>
    <w:p>
      <w:pPr>
        <w:pStyle w:val="ListNumber"/>
        <w:numPr>
          <w:ilvl w:val="0"/>
          <w:numId w:val="11"/>
        </w:numPr>
        <w:spacing w:after="40"/>
      </w:pPr>
      <w:r>
        <w:t>Construire le cas batterie B0 cellule, B1 voisines, B2 pack, B3 contrôle, B4 planète.</w:t>
      </w:r>
    </w:p>
    <w:p>
      <w:pPr>
        <w:pStyle w:val="ListNumber"/>
        <w:numPr>
          <w:ilvl w:val="0"/>
          <w:numId w:val="11"/>
        </w:numPr>
        <w:spacing w:after="40"/>
      </w:pPr>
      <w:r>
        <w:t>Geler les proxys, les seuils, les liens causaux et les données manquantes avant calcul.</w:t>
      </w:r>
    </w:p>
    <w:p>
      <w:pPr>
        <w:pStyle w:val="ListNumber"/>
        <w:numPr>
          <w:ilvl w:val="0"/>
          <w:numId w:val="11"/>
        </w:numPr>
        <w:spacing w:after="40"/>
      </w:pPr>
      <w:r>
        <w:t>Développer le premier passage NASA historique à 1,4 Ah et appliquer les portes absolues.</w:t>
      </w:r>
    </w:p>
    <w:p>
      <w:pPr>
        <w:pStyle w:val="ListNumber"/>
        <w:numPr>
          <w:ilvl w:val="0"/>
          <w:numId w:val="11"/>
        </w:numPr>
        <w:spacing w:after="40"/>
      </w:pPr>
      <w:r>
        <w:t>Tester la mémoire sur les 26 packs dès accès aux données, avec séparation par groupe causal.</w:t>
      </w:r>
    </w:p>
    <w:p>
      <w:pPr>
        <w:pStyle w:val="ListNumber"/>
        <w:numPr>
          <w:ilvl w:val="0"/>
          <w:numId w:val="11"/>
        </w:numPr>
        <w:spacing w:after="40"/>
      </w:pPr>
      <w:r>
        <w:t>Transférer l’architecture vers XJTU-SY, puis contrôler sur NASA IMS.</w:t>
      </w:r>
    </w:p>
    <w:p>
      <w:pPr>
        <w:pStyle w:val="ListNumber"/>
        <w:numPr>
          <w:ilvl w:val="0"/>
          <w:numId w:val="11"/>
        </w:numPr>
        <w:spacing w:after="40"/>
      </w:pPr>
      <w:r>
        <w:t>Revenir ensuite à D_Z et à la récupération relativiste, sans identifier temps et cohérence.</w:t>
      </w:r>
    </w:p>
    <w:p>
      <w:pPr>
        <w:pStyle w:val="Heading1"/>
      </w:pPr>
      <w:r>
        <w:t>21. Checklist de reprise — avant toute analyse</w:t>
      </w:r>
    </w:p>
    <w:p>
      <w:pPr>
        <w:spacing w:after="50"/>
        <w:ind w:left="216" w:hanging="216"/>
      </w:pPr>
      <w:r>
        <w:rPr>
          <w:b/>
        </w:rPr>
        <w:t xml:space="preserve">[  ]  </w:t>
      </w:r>
      <w:r>
        <w:t>J’ai lu intégralement Z1, la démonstration par applications et la falsification assistée.</w:t>
      </w:r>
    </w:p>
    <w:p>
      <w:pPr>
        <w:spacing w:after="50"/>
        <w:ind w:left="216" w:hanging="216"/>
      </w:pPr>
      <w:r>
        <w:rPr>
          <w:b/>
        </w:rPr>
        <w:t xml:space="preserve">[  ]  </w:t>
      </w:r>
      <w:r>
        <w:t>J’ai lu la Note Scellée Preuve Minimale Sigma v1.</w:t>
      </w:r>
    </w:p>
    <w:p>
      <w:pPr>
        <w:spacing w:after="50"/>
        <w:ind w:left="216" w:hanging="216"/>
      </w:pPr>
      <w:r>
        <w:rPr>
          <w:b/>
        </w:rPr>
        <w:t xml:space="preserve">[  ]  </w:t>
      </w:r>
      <w:r>
        <w:t>J’ai classé chaque énoncé : fait importé / axiome / théorème / hypothèse / mesuré / NON_MESURÉ.</w:t>
      </w:r>
    </w:p>
    <w:p>
      <w:pPr>
        <w:spacing w:after="50"/>
        <w:ind w:left="216" w:hanging="216"/>
      </w:pPr>
      <w:r>
        <w:rPr>
          <w:b/>
        </w:rPr>
        <w:t xml:space="preserve">[  ]  </w:t>
      </w:r>
      <w:r>
        <w:t>Je n’ai pas réintroduit les anciennes constructions 12D ou équations de champ.</w:t>
      </w:r>
    </w:p>
    <w:p>
      <w:pPr>
        <w:spacing w:after="50"/>
        <w:ind w:left="216" w:hanging="216"/>
      </w:pPr>
      <w:r>
        <w:rPr>
          <w:b/>
        </w:rPr>
        <w:t xml:space="preserve">[  ]  </w:t>
      </w:r>
      <w:r>
        <w:t>Je conserve Σ hors domaine ; je n’écris jamais Φ_C(Σ)=0.</w:t>
      </w:r>
    </w:p>
    <w:p>
      <w:pPr>
        <w:spacing w:after="50"/>
        <w:ind w:left="216" w:hanging="216"/>
      </w:pPr>
      <w:r>
        <w:rPr>
          <w:b/>
        </w:rPr>
        <w:t xml:space="preserve">[  ]  </w:t>
      </w:r>
      <w:r>
        <w:t>Je distingue temps propre, paramètre affine, Θ_Z et D_Z.</w:t>
      </w:r>
    </w:p>
    <w:p>
      <w:pPr>
        <w:spacing w:after="50"/>
        <w:ind w:left="216" w:hanging="216"/>
      </w:pPr>
      <w:r>
        <w:rPr>
          <w:b/>
        </w:rPr>
        <w:t xml:space="preserve">[  ]  </w:t>
      </w:r>
      <w:r>
        <w:t>Je distingue mémoire locale, transfert global et destruction d’information.</w:t>
      </w:r>
    </w:p>
    <w:p>
      <w:pPr>
        <w:pStyle w:val="Heading1"/>
      </w:pPr>
      <w:r>
        <w:t>22. Checklist — définition des cadres</w:t>
      </w:r>
    </w:p>
    <w:p>
      <w:pPr>
        <w:spacing w:after="50"/>
        <w:ind w:left="216" w:hanging="216"/>
      </w:pPr>
      <w:r>
        <w:rPr>
          <w:b/>
        </w:rPr>
        <w:t xml:space="preserve">[  ]  </w:t>
      </w:r>
      <w:r>
        <w:t>Chaque cadre possède frontière, fonction, proxys, triplet, causalité et invariants.</w:t>
      </w:r>
    </w:p>
    <w:p>
      <w:pPr>
        <w:spacing w:after="50"/>
        <w:ind w:left="216" w:hanging="216"/>
      </w:pPr>
      <w:r>
        <w:rPr>
          <w:b/>
        </w:rPr>
        <w:t xml:space="preserve">[  ]  </w:t>
      </w:r>
      <w:r>
        <w:t>Les relations transversales (ex. antipodales) ne sont pas promues sans justification.</w:t>
      </w:r>
    </w:p>
    <w:p>
      <w:pPr>
        <w:spacing w:after="50"/>
        <w:ind w:left="216" w:hanging="216"/>
      </w:pPr>
      <w:r>
        <w:rPr>
          <w:b/>
        </w:rPr>
        <w:t xml:space="preserve">[  ]  </w:t>
      </w:r>
      <w:r>
        <w:t>Les cadres se recouvrent uniquement si les variables partagées sont explicitement tracées.</w:t>
      </w:r>
    </w:p>
    <w:p>
      <w:pPr>
        <w:spacing w:after="50"/>
        <w:ind w:left="216" w:hanging="216"/>
      </w:pPr>
      <w:r>
        <w:rPr>
          <w:b/>
        </w:rPr>
        <w:t xml:space="preserve">[  ]  </w:t>
      </w:r>
      <w:r>
        <w:t>Aucun effet n’est compté deux fois.</w:t>
      </w:r>
    </w:p>
    <w:p>
      <w:pPr>
        <w:spacing w:after="50"/>
        <w:ind w:left="216" w:hanging="216"/>
      </w:pPr>
      <w:r>
        <w:rPr>
          <w:b/>
        </w:rPr>
        <w:t xml:space="preserve">[  ]  </w:t>
      </w:r>
      <w:r>
        <w:t>Tous les cadres causaux affectés sont présents ; sinon verdict NON_MESURÉ.</w:t>
      </w:r>
    </w:p>
    <w:p>
      <w:pPr>
        <w:spacing w:after="50"/>
        <w:ind w:left="216" w:hanging="216"/>
      </w:pPr>
      <w:r>
        <w:rPr>
          <w:b/>
        </w:rPr>
        <w:t xml:space="preserve">[  ]  </w:t>
      </w:r>
      <w:r>
        <w:t>Le cadre planète borne la décision ; il n’est pas injecté artificiellement dans la RUL locale.</w:t>
      </w:r>
    </w:p>
    <w:p>
      <w:pPr>
        <w:spacing w:after="50"/>
        <w:ind w:left="216" w:hanging="216"/>
      </w:pPr>
      <w:r>
        <w:rPr>
          <w:b/>
        </w:rPr>
        <w:t xml:space="preserve">[  ]  </w:t>
      </w:r>
      <w:r>
        <w:t>Aucune moyenne globale ne compense une régression critique.</w:t>
      </w:r>
    </w:p>
    <w:p>
      <w:pPr>
        <w:pStyle w:val="Heading1"/>
      </w:pPr>
      <w:r>
        <w:t>23. Checklist — avant calcul et code</w:t>
      </w:r>
    </w:p>
    <w:p>
      <w:pPr>
        <w:spacing w:after="50"/>
        <w:ind w:left="216" w:hanging="216"/>
      </w:pPr>
      <w:r>
        <w:rPr>
          <w:b/>
        </w:rPr>
        <w:t xml:space="preserve">[  ]  </w:t>
      </w:r>
      <w:r>
        <w:t>Référence et comparateurs gelés avant ouverture de la vérité.</w:t>
      </w:r>
    </w:p>
    <w:p>
      <w:pPr>
        <w:spacing w:after="50"/>
        <w:ind w:left="216" w:hanging="216"/>
      </w:pPr>
      <w:r>
        <w:rPr>
          <w:b/>
        </w:rPr>
        <w:t xml:space="preserve">[  ]  </w:t>
      </w:r>
      <w:r>
        <w:t>Proxys, unités, sens des seuils, criticité et traitement des absences définis.</w:t>
      </w:r>
    </w:p>
    <w:p>
      <w:pPr>
        <w:spacing w:after="50"/>
        <w:ind w:left="216" w:hanging="216"/>
      </w:pPr>
      <w:r>
        <w:rPr>
          <w:b/>
        </w:rPr>
        <w:t xml:space="preserve">[  ]  </w:t>
      </w:r>
      <w:r>
        <w:t>Groupes causaux séparés entre apprentissage et test.</w:t>
      </w:r>
    </w:p>
    <w:p>
      <w:pPr>
        <w:spacing w:after="50"/>
        <w:ind w:left="216" w:hanging="216"/>
      </w:pPr>
      <w:r>
        <w:rPr>
          <w:b/>
        </w:rPr>
        <w:t xml:space="preserve">[  ]  </w:t>
      </w:r>
      <w:r>
        <w:t>Puissance et taux d’abstention définis ; comparaisons sur le même sous-ensemble.</w:t>
      </w:r>
    </w:p>
    <w:p>
      <w:pPr>
        <w:spacing w:after="50"/>
        <w:ind w:left="216" w:hanging="216"/>
      </w:pPr>
      <w:r>
        <w:rPr>
          <w:b/>
        </w:rPr>
        <w:t xml:space="preserve">[  ]  </w:t>
      </w:r>
      <w:r>
        <w:t>Les FAIL historiques sont couverts par des tests de non-régression.</w:t>
      </w:r>
    </w:p>
    <w:p>
      <w:pPr>
        <w:spacing w:after="50"/>
        <w:ind w:left="216" w:hanging="216"/>
      </w:pPr>
      <w:r>
        <w:rPr>
          <w:b/>
        </w:rPr>
        <w:t xml:space="preserve">[  ]  </w:t>
      </w:r>
      <w:r>
        <w:t>Les tests unitaires passent ; une graine et les empreintes sont consignées.</w:t>
      </w:r>
    </w:p>
    <w:p>
      <w:pPr>
        <w:spacing w:after="50"/>
        <w:ind w:left="216" w:hanging="216"/>
      </w:pPr>
      <w:r>
        <w:rPr>
          <w:b/>
        </w:rPr>
        <w:t xml:space="preserve">[  ]  </w:t>
      </w:r>
      <w:r>
        <w:t>Les coefficients physiques non calibrés restent étiquetés NON_MESURÉ.</w:t>
      </w:r>
    </w:p>
    <w:p>
      <w:pPr>
        <w:pStyle w:val="Heading1"/>
      </w:pPr>
      <w:r>
        <w:t>24. Checklist — avant conclusion</w:t>
      </w:r>
    </w:p>
    <w:p>
      <w:pPr>
        <w:spacing w:after="50"/>
        <w:ind w:left="216" w:hanging="216"/>
      </w:pPr>
      <w:r>
        <w:rPr>
          <w:b/>
        </w:rPr>
        <w:t xml:space="preserve">[  ]  </w:t>
      </w:r>
      <w:r>
        <w:t>Les portes absolues passent avant toute comparaison relative.</w:t>
      </w:r>
    </w:p>
    <w:p>
      <w:pPr>
        <w:spacing w:after="50"/>
        <w:ind w:left="216" w:hanging="216"/>
      </w:pPr>
      <w:r>
        <w:rPr>
          <w:b/>
        </w:rPr>
        <w:t xml:space="preserve">[  ]  </w:t>
      </w:r>
      <w:r>
        <w:t>Les résultats sont donnés par objet et cadre, pas seulement en moyenne.</w:t>
      </w:r>
    </w:p>
    <w:p>
      <w:pPr>
        <w:spacing w:after="50"/>
        <w:ind w:left="216" w:hanging="216"/>
      </w:pPr>
      <w:r>
        <w:rPr>
          <w:b/>
        </w:rPr>
        <w:t xml:space="preserve">[  ]  </w:t>
      </w:r>
      <w:r>
        <w:t>Toute régression locale est visible et justifiée selon des critères préétablis.</w:t>
      </w:r>
    </w:p>
    <w:p>
      <w:pPr>
        <w:spacing w:after="50"/>
        <w:ind w:left="216" w:hanging="216"/>
      </w:pPr>
      <w:r>
        <w:rPr>
          <w:b/>
        </w:rPr>
        <w:t xml:space="preserve">[  ]  </w:t>
      </w:r>
      <w:r>
        <w:t>Compatibilité, illustration, PASS structurel et validation physique ne sont pas confondus.</w:t>
      </w:r>
    </w:p>
    <w:p>
      <w:pPr>
        <w:spacing w:after="50"/>
        <w:ind w:left="216" w:hanging="216"/>
      </w:pPr>
      <w:r>
        <w:rPr>
          <w:b/>
        </w:rPr>
        <w:t xml:space="preserve">[  ]  </w:t>
      </w:r>
      <w:r>
        <w:t>Les données manquantes sont NON_MESURÉ, jamais imputées sans signalement.</w:t>
      </w:r>
    </w:p>
    <w:p>
      <w:pPr>
        <w:spacing w:after="50"/>
        <w:ind w:left="216" w:hanging="216"/>
      </w:pPr>
      <w:r>
        <w:rPr>
          <w:b/>
        </w:rPr>
        <w:t xml:space="preserve">[  ]  </w:t>
      </w:r>
      <w:r>
        <w:t>La provenance améliore précision et calibration hors groupe avant de conclure à une mémoire propre.</w:t>
      </w:r>
    </w:p>
    <w:p>
      <w:pPr>
        <w:spacing w:after="50"/>
        <w:ind w:left="216" w:hanging="216"/>
      </w:pPr>
      <w:r>
        <w:rPr>
          <w:b/>
        </w:rPr>
        <w:t xml:space="preserve">[  ]  </w:t>
      </w:r>
      <w:r>
        <w:t>Le résultat est falsifiable : condition d’échec écrite avant le test.</w:t>
      </w:r>
    </w:p>
    <w:p>
      <w:pPr>
        <w:pStyle w:val="Heading1"/>
      </w:pPr>
      <w:r>
        <w:t>25. Conditions d’arrêt et de falsification</w:t>
      </w:r>
    </w:p>
    <w:p>
      <w:pPr>
        <w:pStyle w:val="ListBullet"/>
        <w:spacing w:after="40"/>
      </w:pPr>
      <w:r>
        <w:t>Un montage échoue si les portes absolues pré-enregistrées échouent, même s’il bat un comparateur.</w:t>
      </w:r>
    </w:p>
    <w:p>
      <w:pPr>
        <w:pStyle w:val="ListBullet"/>
        <w:spacing w:after="40"/>
      </w:pPr>
      <w:r>
        <w:t>Une hiérarchie de cadres est rejetée si elle crée double comptage, variables sans frontière ou causalité non testable.</w:t>
      </w:r>
    </w:p>
    <w:p>
      <w:pPr>
        <w:pStyle w:val="ListBullet"/>
        <w:spacing w:after="40"/>
      </w:pPr>
      <w:r>
        <w:t>L’hypothèse de mémoire est rejetée si M_t n’apporte aucun gain hors groupe conditionnellement à Q_t,E_t.</w:t>
      </w:r>
    </w:p>
    <w:p>
      <w:pPr>
        <w:pStyle w:val="ListBullet"/>
        <w:spacing w:after="40"/>
      </w:pPr>
      <w:r>
        <w:t>Une prétention physique reste NON_MESURÉE tant que les proxys et seuils ne sont pas calibrés sur données appropriées.</w:t>
      </w:r>
    </w:p>
    <w:p>
      <w:pPr>
        <w:pStyle w:val="ListBullet"/>
        <w:spacing w:after="40"/>
      </w:pPr>
      <w:r>
        <w:t>Une série d’illustrations relationnelles ne valide pas à elle seule une prédiction propre à ZORAN.</w:t>
      </w:r>
    </w:p>
    <w:p>
      <w:pPr>
        <w:pStyle w:val="Heading1"/>
      </w:pPr>
      <w:r>
        <w:t>26. Bloc à copier dans la prochaine session</w:t>
      </w:r>
    </w:p>
    <w:tbl>
      <w:tblPr>
        <w:tblW w:type="auto" w:w="0"/>
        <w:jc w:val="center"/>
        <w:tblLayout w:type="fixed"/>
        <w:tblLook w:firstColumn="1" w:firstRow="1" w:lastColumn="0" w:lastRow="0" w:noHBand="0" w:noVBand="1" w:val="04A0"/>
      </w:tblPr>
      <w:tblGrid>
        <w:gridCol w:w="9864"/>
      </w:tblGrid>
      <w:tr>
        <w:tc>
          <w:tcPr>
            <w:tcW w:type="dxa" w:w="10166"/>
            <w:shd w:fill="D9EAD3"/>
            <w:tcMar>
              <w:top w:w="120" w:type="dxa"/>
              <w:start w:w="160" w:type="dxa"/>
              <w:bottom w:w="120" w:type="dxa"/>
              <w:end w:w="160" w:type="dxa"/>
            </w:tcMar>
          </w:tcPr>
          <w:p>
            <w:pPr>
              <w:spacing w:after="60"/>
            </w:pPr>
            <w:r>
              <w:rPr>
                <w:b/>
                <w:color w:val="1F4D78"/>
              </w:rPr>
              <w:t>MESSAGE DE REPRISE</w:t>
            </w:r>
          </w:p>
          <w:p>
            <w:pPr>
              <w:spacing w:after="0"/>
            </w:pPr>
            <w:r>
              <w:t>Tu reprends ZORAN avec Frédéric Tabary. Lis cette lettre et ne rouvre aucun verrou. Choisis le cadre local et son premier cadre relationnel englobant ; remonte si la causalité l’impose. Filtre l’impossible, puis minimise sans compensation la dette de chaque cadre. La dette est le résidu causal que le cadre supérieur relationnel englobant doit compenser pour retrouver une cohérence équivalente ; son temps de résorption en mesure la persistance. Les effets sont mesurés dans le cadre qui les reçoit, sans transfert ni double compte. Toute absence vaut NON_MESURÉ ; tout arbitrage est gelé avant calcul.</w:t>
            </w:r>
          </w:p>
        </w:tc>
      </w:tr>
    </w:tbl>
    <w:p>
      <w:pPr>
        <w:spacing w:after="0"/>
      </w:pPr>
    </w:p>
    <w:p>
      <w:pPr>
        <w:pStyle w:val="Heading1"/>
      </w:pPr>
      <w:r>
        <w:t>27. Formule de clôture</w:t>
      </w:r>
    </w:p>
    <w:p>
      <w:pPr>
        <w:pStyle w:val="EquationZORAN"/>
      </w:pPr>
      <w:r>
        <w:t>S = (β × ΔΦ) / (1 + T + σ)</w:t>
      </w:r>
    </w:p>
    <w:p>
      <w:pPr>
        <w:pStyle w:val="EquationZORAN"/>
      </w:pPr>
      <w:r>
        <w:t>S = NON_MESURÉ</w:t>
      </w:r>
    </w:p>
    <w:p>
      <w:r>
        <w:t>Motif : proxys, seuils et pondérations physiques des nouveaux cadres restent à mesurer et calibrer.</w:t>
      </w:r>
    </w:p>
    <w:p>
      <w:pPr>
        <w:sectPr>
          <w:headerReference w:type="default" r:id="rId9"/>
          <w:footerReference w:type="default" r:id="rId10"/>
          <w:pgSz w:w="12240" w:h="15840"/>
          <w:pgMar w:top="1123" w:right="1037" w:bottom="979" w:left="1037" w:header="490" w:footer="490" w:gutter="0"/>
          <w:cols w:space="720"/>
          <w:docGrid w:linePitch="360"/>
        </w:sectPr>
      </w:pPr>
    </w:p>
    <w:p>
      <w:pPr>
        <w:spacing w:before="160" w:after="80"/>
      </w:pPr>
      <w:r>
        <w:rPr>
          <w:b/>
          <w:color w:val="2F7DBE"/>
          <w:sz w:val="32"/>
        </w:rPr>
        <w:t>28. Priorité 1 — Bornage négatif avant exploration</w:t>
      </w:r>
    </w:p>
    <w:tbl>
      <w:tblPr>
        <w:tblW w:type="auto" w:w="0"/>
        <w:tblLayout w:type="autofit"/>
        <w:tblLook w:firstColumn="1" w:firstRow="1" w:lastColumn="0" w:lastRow="0" w:noHBand="0" w:noVBand="1" w:val="04A0"/>
      </w:tblPr>
      <w:tblGrid>
        <w:gridCol w:w="10368"/>
      </w:tblGrid>
      <w:tr>
        <w:tc>
          <w:tcPr>
            <w:tcW w:type="dxa" w:w="10368"/>
            <w:shd w:fill="D9EAD3"/>
            <w:vAlign w:val="center"/>
          </w:tcPr>
          <w:p>
            <w:pPr>
              <w:spacing w:after="0"/>
            </w:pPr>
            <w:r>
              <w:t>VERDICT — La symétrie négative tient dans un domaine préfixé : LeCun cherche les futurs plausibles ; ZORAN retire d’abord les futurs démontrés impossibles. Leur complément donne les candidats non exclus dans l’espace représenté, pas la preuve de tous les futurs réels. Le choix final minimise ensuite les profils de dette locaux et relationnels sans régression critique.</w:t>
            </w:r>
            <w:r>
              <w:rPr>
                <w:b/>
                <w:color w:val="1F4E79"/>
                <w:sz w:val="20"/>
              </w:rPr>
            </w:r>
          </w:p>
        </w:tc>
      </w:tr>
    </w:tbl>
    <w:p>
      <w:pPr>
        <w:spacing w:before="100" w:after="80"/>
      </w:pPr>
      <w:r>
        <w:rPr>
          <w:b/>
          <w:color w:val="2F7DBE"/>
          <w:sz w:val="24"/>
        </w:rPr>
        <w:t>28.1 Forme minimale</w:t>
      </w:r>
    </w:p>
    <w:p>
      <w:pPr>
        <w:spacing w:before="60" w:after="60"/>
        <w:jc w:val="center"/>
      </w:pPr>
      <w:r>
        <w:rPr>
          <w:b/>
          <w:color w:val="1F4E79"/>
          <w:sz w:val="24"/>
        </w:rPr>
        <w:t>LeCun : rechercher les futurs plausibles — espace positif</w:t>
      </w:r>
    </w:p>
    <w:p>
      <w:pPr>
        <w:spacing w:before="60" w:after="60"/>
        <w:jc w:val="center"/>
      </w:pPr>
      <w:r>
        <w:rPr>
          <w:b/>
          <w:color w:val="1F4E79"/>
          <w:sz w:val="24"/>
        </w:rPr>
        <w:t>ZORAN : F_possible = F_total \ F_impossible — symétrie négative</w:t>
      </w:r>
    </w:p>
    <w:p>
      <w:pPr>
        <w:spacing w:before="60" w:after="60"/>
        <w:jc w:val="center"/>
      </w:pPr>
      <w:r>
        <w:rPr>
          <w:b/>
          <w:color w:val="1F4E79"/>
          <w:sz w:val="24"/>
        </w:rPr>
        <w:t>(p*, f*) ∈ Pareto-min [D_local(p,f), D_rel-voisins(p,f)], avec f ∈ F_possible</w:t>
      </w:r>
    </w:p>
    <w:p>
      <w:pPr>
        <w:spacing w:after="80"/>
      </w:pPr>
      <w:r>
        <w:rPr>
          <w:sz w:val="19"/>
        </w:rPr>
        <w:t>Conséquence : Fₛ = 1/S = (1 + T + σ)/(β × ΔΦ) lorsque β × ΔΦ &gt; 0. Fₛ est un indice formel conditionnel de fragilité de cohérence, pas la dette complète. La décision porte sur les profils de dette propres aux objets et cadres affectés, jamais sur une moyenne. Sans proxys mesurés, Fₛ et S restent NON_MESURÉS.</w:t>
      </w:r>
    </w:p>
    <w:p>
      <w:pPr>
        <w:spacing w:before="100" w:after="80"/>
      </w:pPr>
      <w:r>
        <w:rPr>
          <w:b/>
          <w:color w:val="2F7DBE"/>
          <w:sz w:val="24"/>
        </w:rPr>
        <w:t>28.2 Comparaison bornée</w:t>
      </w:r>
    </w:p>
    <w:tbl>
      <w:tblPr>
        <w:tblW w:type="auto" w:w="0"/>
        <w:tblLayout w:type="autofit"/>
        <w:tblLook w:firstColumn="1" w:firstRow="1" w:lastColumn="0" w:lastRow="0" w:noHBand="0" w:noVBand="1" w:val="04A0"/>
      </w:tblPr>
      <w:tblGrid>
        <w:gridCol w:w="2592"/>
        <w:gridCol w:w="2592"/>
        <w:gridCol w:w="2592"/>
        <w:gridCol w:w="2592"/>
      </w:tblGrid>
      <w:tr>
        <w:tc>
          <w:tcPr>
            <w:tcW w:type="dxa" w:w="2592"/>
            <w:shd w:fill="D9E2F3"/>
            <w:vAlign w:val="center"/>
          </w:tcPr>
          <w:p>
            <w:pPr>
              <w:spacing w:after="0"/>
            </w:pPr>
            <w:r/>
            <w:r>
              <w:rPr>
                <w:b/>
                <w:color w:val="1F4E79"/>
                <w:sz w:val="17"/>
              </w:rPr>
              <w:t>Opération</w:t>
            </w:r>
          </w:p>
        </w:tc>
        <w:tc>
          <w:tcPr>
            <w:tcW w:type="dxa" w:w="2592"/>
            <w:shd w:fill="D9E2F3"/>
            <w:vAlign w:val="center"/>
          </w:tcPr>
          <w:p>
            <w:pPr>
              <w:spacing w:after="0"/>
            </w:pPr>
            <w:r/>
            <w:r>
              <w:rPr>
                <w:b/>
                <w:color w:val="1F4E79"/>
                <w:sz w:val="17"/>
              </w:rPr>
              <w:t>LeCun / JEPA</w:t>
            </w:r>
          </w:p>
        </w:tc>
        <w:tc>
          <w:tcPr>
            <w:tcW w:type="dxa" w:w="2592"/>
            <w:shd w:fill="D9E2F3"/>
            <w:vAlign w:val="center"/>
          </w:tcPr>
          <w:p>
            <w:pPr>
              <w:spacing w:after="0"/>
            </w:pPr>
            <w:r/>
            <w:r>
              <w:rPr>
                <w:b/>
                <w:color w:val="1F4E79"/>
                <w:sz w:val="17"/>
              </w:rPr>
              <w:t>ZORAN</w:t>
            </w:r>
          </w:p>
        </w:tc>
        <w:tc>
          <w:tcPr>
            <w:tcW w:type="dxa" w:w="2592"/>
            <w:shd w:fill="D9E2F3"/>
            <w:vAlign w:val="center"/>
          </w:tcPr>
          <w:p>
            <w:pPr>
              <w:spacing w:after="0"/>
            </w:pPr>
            <w:r/>
            <w:r>
              <w:rPr>
                <w:b/>
                <w:color w:val="1F4E79"/>
                <w:sz w:val="17"/>
              </w:rPr>
              <w:t>Borne obtenue</w:t>
            </w:r>
          </w:p>
        </w:tc>
      </w:tr>
      <w:tr>
        <w:tc>
          <w:tcPr>
            <w:tcW w:type="dxa" w:w="2592"/>
            <w:vAlign w:val="center"/>
          </w:tcPr>
          <w:p>
            <w:pPr>
              <w:spacing w:after="0"/>
            </w:pPr>
            <w:r/>
            <w:r>
              <w:rPr>
                <w:b w:val="0"/>
                <w:sz w:val="16"/>
              </w:rPr>
              <w:t>Espace des futurs</w:t>
            </w:r>
          </w:p>
        </w:tc>
        <w:tc>
          <w:tcPr>
            <w:tcW w:type="dxa" w:w="2592"/>
            <w:vAlign w:val="center"/>
          </w:tcPr>
          <w:p>
            <w:pPr>
              <w:spacing w:after="0"/>
            </w:pPr>
            <w:r/>
            <w:r>
              <w:rPr>
                <w:b w:val="0"/>
                <w:sz w:val="16"/>
              </w:rPr>
              <w:t>Prédictions latentes plausibles</w:t>
            </w:r>
          </w:p>
        </w:tc>
        <w:tc>
          <w:tcPr>
            <w:tcW w:type="dxa" w:w="2592"/>
            <w:vAlign w:val="center"/>
          </w:tcPr>
          <w:p>
            <w:pPr>
              <w:spacing w:after="0"/>
            </w:pPr>
            <w:r/>
            <w:r>
              <w:rPr>
                <w:b w:val="0"/>
                <w:sz w:val="16"/>
              </w:rPr>
              <w:t>Complément des futurs interdits</w:t>
            </w:r>
          </w:p>
        </w:tc>
        <w:tc>
          <w:tcPr>
            <w:tcW w:type="dxa" w:w="2592"/>
            <w:vAlign w:val="center"/>
          </w:tcPr>
          <w:p>
            <w:pPr>
              <w:spacing w:after="0"/>
            </w:pPr>
            <w:r/>
            <w:r>
              <w:rPr>
                <w:b w:val="0"/>
                <w:sz w:val="16"/>
              </w:rPr>
              <w:t>Ne pas explorer ce qui viole déjà un invariant</w:t>
            </w:r>
          </w:p>
        </w:tc>
      </w:tr>
      <w:tr>
        <w:tc>
          <w:tcPr>
            <w:tcW w:type="dxa" w:w="2592"/>
            <w:vAlign w:val="center"/>
          </w:tcPr>
          <w:p>
            <w:pPr>
              <w:spacing w:after="0"/>
            </w:pPr>
            <w:r/>
            <w:r>
              <w:rPr>
                <w:b w:val="0"/>
                <w:sz w:val="16"/>
              </w:rPr>
              <w:t>Décision</w:t>
            </w:r>
          </w:p>
        </w:tc>
        <w:tc>
          <w:tcPr>
            <w:tcW w:type="dxa" w:w="2592"/>
            <w:vAlign w:val="center"/>
          </w:tcPr>
          <w:p>
            <w:pPr>
              <w:spacing w:after="0"/>
            </w:pPr>
            <w:r/>
            <w:r>
              <w:rPr>
                <w:b w:val="0"/>
                <w:sz w:val="16"/>
              </w:rPr>
              <w:t>Minimisation d’un coût scalaire</w:t>
            </w:r>
          </w:p>
        </w:tc>
        <w:tc>
          <w:tcPr>
            <w:tcW w:type="dxa" w:w="2592"/>
            <w:vAlign w:val="center"/>
          </w:tcPr>
          <w:p>
            <w:pPr>
              <w:spacing w:after="0"/>
            </w:pPr>
            <w:r/>
            <w:r>
              <w:rPr>
                <w:b w:val="0"/>
                <w:sz w:val="16"/>
              </w:rPr>
              <w:t>Veto non compensable, puis dette minimale</w:t>
            </w:r>
          </w:p>
        </w:tc>
        <w:tc>
          <w:tcPr>
            <w:tcW w:type="dxa" w:w="2592"/>
            <w:vAlign w:val="center"/>
          </w:tcPr>
          <w:p>
            <w:pPr>
              <w:spacing w:after="0"/>
            </w:pPr>
            <w:r/>
            <w:r>
              <w:rPr>
                <w:b w:val="0"/>
                <w:sz w:val="16"/>
              </w:rPr>
              <w:t>Une moyenne ne masque aucune perte critique</w:t>
            </w:r>
          </w:p>
        </w:tc>
      </w:tr>
      <w:tr>
        <w:tc>
          <w:tcPr>
            <w:tcW w:type="dxa" w:w="2592"/>
            <w:vAlign w:val="center"/>
          </w:tcPr>
          <w:p>
            <w:pPr>
              <w:spacing w:after="0"/>
            </w:pPr>
            <w:r/>
            <w:r>
              <w:rPr>
                <w:b w:val="0"/>
                <w:sz w:val="16"/>
              </w:rPr>
              <w:t>Information absente</w:t>
            </w:r>
          </w:p>
        </w:tc>
        <w:tc>
          <w:tcPr>
            <w:tcW w:type="dxa" w:w="2592"/>
            <w:vAlign w:val="center"/>
          </w:tcPr>
          <w:p>
            <w:pPr>
              <w:spacing w:after="0"/>
            </w:pPr>
            <w:r/>
            <w:r>
              <w:rPr>
                <w:b w:val="0"/>
                <w:sz w:val="16"/>
              </w:rPr>
              <w:t>Incertitude latente ou prédiction multiple</w:t>
            </w:r>
          </w:p>
        </w:tc>
        <w:tc>
          <w:tcPr>
            <w:tcW w:type="dxa" w:w="2592"/>
            <w:vAlign w:val="center"/>
          </w:tcPr>
          <w:p>
            <w:pPr>
              <w:spacing w:after="0"/>
            </w:pPr>
            <w:r/>
            <w:r>
              <w:rPr>
                <w:b w:val="0"/>
                <w:sz w:val="16"/>
              </w:rPr>
              <w:t>NON_MESURÉ : aucune promotion</w:t>
            </w:r>
          </w:p>
        </w:tc>
        <w:tc>
          <w:tcPr>
            <w:tcW w:type="dxa" w:w="2592"/>
            <w:vAlign w:val="center"/>
          </w:tcPr>
          <w:p>
            <w:pPr>
              <w:spacing w:after="0"/>
            </w:pPr>
            <w:r/>
            <w:r>
              <w:rPr>
                <w:b w:val="0"/>
                <w:sz w:val="16"/>
              </w:rPr>
              <w:t>L’absence de mesure ne devient jamais zéro</w:t>
            </w:r>
          </w:p>
        </w:tc>
      </w:tr>
      <w:tr>
        <w:tc>
          <w:tcPr>
            <w:tcW w:type="dxa" w:w="2592"/>
            <w:vAlign w:val="center"/>
          </w:tcPr>
          <w:p>
            <w:pPr>
              <w:spacing w:after="0"/>
            </w:pPr>
            <w:r/>
            <w:r>
              <w:rPr>
                <w:b w:val="0"/>
                <w:sz w:val="16"/>
              </w:rPr>
              <w:t>Complexité</w:t>
            </w:r>
          </w:p>
        </w:tc>
        <w:tc>
          <w:tcPr>
            <w:tcW w:type="dxa" w:w="2592"/>
            <w:vAlign w:val="center"/>
          </w:tcPr>
          <w:p>
            <w:pPr>
              <w:spacing w:after="0"/>
            </w:pPr>
            <w:r/>
            <w:r>
              <w:rPr>
                <w:b w:val="0"/>
                <w:sz w:val="16"/>
              </w:rPr>
              <w:t>Hiérarchie de prédiction et planification</w:t>
            </w:r>
          </w:p>
        </w:tc>
        <w:tc>
          <w:tcPr>
            <w:tcW w:type="dxa" w:w="2592"/>
            <w:vAlign w:val="center"/>
          </w:tcPr>
          <w:p>
            <w:pPr>
              <w:spacing w:after="0"/>
            </w:pPr>
            <w:r/>
            <w:r>
              <w:rPr>
                <w:b w:val="0"/>
                <w:sz w:val="16"/>
              </w:rPr>
              <w:t>Admise seulement si elle réduit un profil de dette mesuré sans régression critique</w:t>
            </w:r>
          </w:p>
        </w:tc>
        <w:tc>
          <w:tcPr>
            <w:tcW w:type="dxa" w:w="2592"/>
            <w:vAlign w:val="center"/>
          </w:tcPr>
          <w:p>
            <w:pPr>
              <w:spacing w:after="0"/>
            </w:pPr>
            <w:r/>
            <w:r>
              <w:rPr>
                <w:b w:val="0"/>
                <w:sz w:val="16"/>
              </w:rPr>
              <w:t>Tout niveau sans gain causal est supprimé</w:t>
            </w:r>
          </w:p>
        </w:tc>
      </w:tr>
    </w:tbl>
    <w:p>
      <w:pPr>
        <w:spacing w:before="100" w:after="80"/>
      </w:pPr>
      <w:r>
        <w:rPr>
          <w:b/>
          <w:color w:val="2F7DBE"/>
          <w:sz w:val="24"/>
        </w:rPr>
        <w:t>28.3 Les quatre portes suffisantes</w:t>
      </w:r>
    </w:p>
    <w:p>
      <w:pPr>
        <w:spacing w:after="20"/>
      </w:pPr>
      <w:r>
        <w:rPr>
          <w:sz w:val="19"/>
        </w:rPr>
        <w:t>1. DOMAINE — L’état candidat existe-t-il dans tous les cadres affectés ? Sinon : hors domaine ou NON_MESURÉ, jamais zéro.</w:t>
      </w:r>
    </w:p>
    <w:p>
      <w:pPr>
        <w:spacing w:after="20"/>
      </w:pPr>
      <w:r>
        <w:rPr>
          <w:sz w:val="19"/>
        </w:rPr>
        <w:t>2. INVARIANTS — Une contrainte critique locale, paire ou supérieure est-elle violée ? Si oui : rejet immédiat, sans compensation.</w:t>
      </w:r>
    </w:p>
    <w:p>
      <w:pPr>
        <w:spacing w:after="20"/>
      </w:pPr>
      <w:r>
        <w:rPr>
          <w:sz w:val="19"/>
        </w:rPr>
        <w:t>3. CAUSALITÉ — Le bénéfice annoncé est-il démontré à chaque cadre supérieur concerné ? Sinon : expérimental, non promouvable.</w:t>
      </w:r>
    </w:p>
    <w:p>
      <w:pPr>
        <w:spacing w:after="20"/>
      </w:pPr>
      <w:r>
        <w:rPr>
          <w:sz w:val="19"/>
        </w:rPr>
        <w:t>4. DETTE — Parmi les candidats restants, lesquels sont non dominés sur le couple (D_local, D_relationnel des voisins), sans moyenne ni transfert de dette ?</w:t>
      </w:r>
    </w:p>
    <w:p>
      <w:pPr>
        <w:spacing w:before="100" w:after="80"/>
      </w:pPr>
      <w:r>
        <w:rPr>
          <w:b/>
          <w:color w:val="2F7DBE"/>
          <w:sz w:val="24"/>
        </w:rPr>
        <w:t>28.4 Point exact de différenciation</w:t>
      </w:r>
    </w:p>
    <w:p>
      <w:pPr>
        <w:pStyle w:val="ListBullet"/>
        <w:spacing w:after="20"/>
      </w:pPr>
      <w:r>
        <w:rPr>
          <w:sz w:val="19"/>
        </w:rPr>
        <w:t>LeCun possède déjà un coût intrinsèque et des contraintes comportementales codées en dur : ne pas prétendre que JEPA est dépourvu de bornes.</w:t>
      </w:r>
    </w:p>
    <w:p>
      <w:pPr>
        <w:pStyle w:val="ListBullet"/>
        <w:spacing w:after="20"/>
      </w:pPr>
      <w:r>
        <w:rPr>
          <w:sz w:val="19"/>
        </w:rPr>
        <w:t>La symétrie négative porte sur l’ordre : définir le complément impossible avant toute exploration positive, avec un veto multicadre non compensable.</w:t>
      </w:r>
    </w:p>
    <w:p>
      <w:pPr>
        <w:pStyle w:val="ListBullet"/>
        <w:spacing w:after="20"/>
      </w:pPr>
      <w:r>
        <w:rPr>
          <w:sz w:val="19"/>
        </w:rPr>
        <w:t>Les sources publiques consultées ne démontrent pas que le coût scalaire de LeCun applique un veto causal non compensable à tous les cadres jusqu’au cadre planétaire : ce point est NON ÉTABLI, pas réfuté.</w:t>
      </w:r>
    </w:p>
    <w:p>
      <w:pPr>
        <w:spacing w:before="100" w:after="80"/>
      </w:pPr>
      <w:r>
        <w:rPr>
          <w:b/>
          <w:color w:val="2F7DBE"/>
          <w:sz w:val="24"/>
        </w:rPr>
        <w:t>28.5 Test décisif minimal</w:t>
      </w:r>
    </w:p>
    <w:p>
      <w:pPr>
        <w:spacing w:after="60"/>
      </w:pPr>
      <w:r>
        <w:rPr>
          <w:sz w:val="19"/>
        </w:rPr>
        <w:t>Comparer le même world model et le même planificateur dans deux conditions : A = sélection par coût seule ; B = mêmes composants précédés du projecteur ZORAN.</w:t>
      </w:r>
    </w:p>
    <w:p>
      <w:pPr>
        <w:pStyle w:val="ListBullet"/>
        <w:spacing w:after="20"/>
      </w:pPr>
      <w:r>
        <w:rPr>
          <w:sz w:val="19"/>
        </w:rPr>
        <w:t>Critères gelés avant essai : violations critiques, réussite de tâche, nombre de trajectoires évaluées, énergie/calcul, calibration et abstention.</w:t>
      </w:r>
    </w:p>
    <w:p>
      <w:pPr>
        <w:pStyle w:val="ListBullet"/>
        <w:spacing w:after="20"/>
      </w:pPr>
      <w:r>
        <w:rPr>
          <w:sz w:val="19"/>
        </w:rPr>
        <w:t>Hypothèse : B réduit les violations et l’espace exploré sans régression de réussite ni transfert d’identité de dette.</w:t>
      </w:r>
    </w:p>
    <w:p>
      <w:pPr>
        <w:pStyle w:val="ListBullet"/>
        <w:spacing w:after="20"/>
      </w:pPr>
      <w:r>
        <w:rPr>
          <w:sz w:val="19"/>
        </w:rPr>
        <w:t>Réfutation : aucun gain sur violations ou exploration, ou toute régression critique non nécessaire et non bornée.</w:t>
      </w:r>
    </w:p>
    <w:tbl>
      <w:tblPr>
        <w:tblW w:type="auto" w:w="0"/>
        <w:tblLook w:firstColumn="1" w:firstRow="1" w:lastColumn="0" w:lastRow="0" w:noHBand="0" w:noVBand="1" w:val="04A0"/>
      </w:tblPr>
      <w:tblGrid>
        <w:gridCol w:w="10368"/>
      </w:tblGrid>
      <w:tr>
        <w:tc>
          <w:tcPr>
            <w:tcW w:type="dxa" w:w="10368"/>
            <w:shd w:fill="F4CCCC"/>
            <w:vAlign w:val="center"/>
          </w:tcPr>
          <w:p>
            <w:pPr>
              <w:spacing w:after="0"/>
            </w:pPr>
            <w:r/>
            <w:r>
              <w:rPr>
                <w:b/>
                <w:color w:val="C62828"/>
                <w:sz w:val="19"/>
              </w:rPr>
              <w:t>CONDITION D’ARRÊT — Ne construire aucune architecture supplémentaire avant ce test. Si quatre portes suffisent à produire le même bornage, tout niveau ajouté est une dette.</w:t>
            </w:r>
          </w:p>
        </w:tc>
      </w:tr>
    </w:tbl>
    <w:p>
      <w:pPr>
        <w:spacing w:before="100" w:after="80"/>
      </w:pPr>
      <w:r>
        <w:rPr>
          <w:b/>
          <w:color w:val="2F7DBE"/>
          <w:sz w:val="24"/>
        </w:rPr>
        <w:t>28.6 Sources de comparaison</w:t>
      </w:r>
    </w:p>
    <w:p>
      <w:pPr>
        <w:spacing w:after="20"/>
      </w:pPr>
      <w:r>
        <w:rPr>
          <w:sz w:val="17"/>
        </w:rPr>
        <w:t>Yann LeCun / Meta AI — architecture modulaire, world model, coût, acteur et planification : https://ai.meta.com/blog/yann-lecun-advances-in-ai-research/</w:t>
      </w:r>
    </w:p>
    <w:p>
      <w:pPr>
        <w:spacing w:after="20"/>
      </w:pPr>
      <w:r>
        <w:rPr>
          <w:sz w:val="17"/>
        </w:rPr>
        <w:t>Meta AI — V-JEPA 2, prédiction et planification par model-predictive control : https://ai.meta.com/blog/v-jepa-2-world-model-benchmarks/</w:t>
      </w:r>
    </w:p>
    <w:p>
      <w:pPr>
        <w:spacing w:after="20"/>
      </w:pPr>
      <w:r>
        <w:rPr>
          <w:sz w:val="17"/>
        </w:rPr>
        <w:t>Joseph et al. (2026) — représentations physiques distribuées et zone d’émergence : https://arxiv.org/abs/2602.07050</w:t>
      </w:r>
    </w:p>
    <w:p>
      <w:pPr>
        <w:spacing w:after="20"/>
      </w:pPr>
      <w:r>
        <w:rPr>
          <w:sz w:val="17"/>
        </w:rPr>
        <w:t>Corpus ZORAN prioritaire : https://zenodo.org/records/18516353 ; https://zenodo.org/records/18526755 ; https://zenodo.org/records/18497598</w:t>
      </w:r>
    </w:p>
    <w:p>
      <w:pPr>
        <w:spacing w:before="160" w:after="80"/>
      </w:pPr>
      <w:r>
        <w:rPr>
          <w:b/>
          <w:color w:val="2F7DBE"/>
          <w:sz w:val="32"/>
        </w:rPr>
        <w:t>29. Finesse du calcul — résolution des proxys relationnels</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9"/>
              </w:rPr>
              <w:t>RÉSULTAT — Le cadre choisit quels proxys comptent. La qualité de leurs mesures détermine ensuite la finesse réelle du bornage. Le nombre de décimales n’est une résolution que si chacune est instrumentée, calibrée et traçable.</w:t>
            </w:r>
          </w:p>
        </w:tc>
      </w:tr>
    </w:tbl>
    <w:p>
      <w:pPr>
        <w:spacing w:before="160" w:after="80"/>
      </w:pPr>
      <w:r>
        <w:rPr>
          <w:b/>
          <w:color w:val="2F7DBE"/>
          <w:sz w:val="24"/>
        </w:rPr>
        <w:t>29.1 Définition opérationnelle</w:t>
      </w:r>
    </w:p>
    <w:p>
      <w:pPr>
        <w:spacing w:after="60"/>
      </w:pPr>
      <w:r>
        <w:rPr>
          <w:sz w:val="18"/>
        </w:rPr>
        <w:t>Pour chaque proxy xᵢ : δᵢ est la plus petite variation résolue et calibrée ; Rᵢ est son échelle de référence. Le nombre de décimales normalisées défendables est :</w:t>
      </w:r>
    </w:p>
    <w:p>
      <w:pPr>
        <w:spacing w:before="40" w:after="40"/>
        <w:jc w:val="center"/>
      </w:pPr>
      <w:r>
        <w:rPr>
          <w:b/>
          <w:color w:val="1F4E79"/>
          <w:sz w:val="22"/>
        </w:rPr>
        <w:t>nᵢ = ⌊−log₁₀(δᵢ / Rᵢ)⌋</w:t>
      </w:r>
    </w:p>
    <w:p>
      <w:pPr>
        <w:spacing w:before="40" w:after="40"/>
        <w:jc w:val="center"/>
      </w:pPr>
      <w:r>
        <w:rPr>
          <w:b/>
          <w:color w:val="1F4E79"/>
          <w:sz w:val="22"/>
        </w:rPr>
        <w:t>n_effectif ≤ min nᵢ sur la chaîne causale critique</w:t>
      </w:r>
    </w:p>
    <w:p>
      <w:pPr>
        <w:spacing w:after="60"/>
      </w:pPr>
      <w:r>
        <w:rPr>
          <w:sz w:val="18"/>
        </w:rPr>
        <w:t>Pour une sortie Y = f(x), l’incertitude doit être propagée ; en approximation locale : u²_Y ≈ ∇fᵀ Σ ∇f. La sortie ne peut afficher plus de décimales fiables que cette incertitude ne l’autorise.</w:t>
      </w:r>
    </w:p>
    <w:p>
      <w:pPr>
        <w:spacing w:before="160" w:after="80"/>
      </w:pPr>
      <w:r>
        <w:rPr>
          <w:b/>
          <w:color w:val="2F7DBE"/>
          <w:sz w:val="24"/>
        </w:rPr>
        <w:t>29.2 Où se gagne la finesse</w:t>
      </w:r>
    </w:p>
    <w:p>
      <w:pPr>
        <w:pStyle w:val="ListBullet"/>
        <w:spacing w:after="20"/>
      </w:pPr>
      <w:r>
        <w:rPr>
          <w:sz w:val="18"/>
        </w:rPr>
        <w:t>Cadre local : résolution des proxys propres à l’objet.</w:t>
      </w:r>
    </w:p>
    <w:p>
      <w:pPr>
        <w:pStyle w:val="ListBullet"/>
        <w:spacing w:after="20"/>
      </w:pPr>
      <w:r>
        <w:rPr>
          <w:sz w:val="18"/>
        </w:rPr>
        <w:t>Cadre relationnel englobant : résolution des proxys des objets voisins.</w:t>
      </w:r>
    </w:p>
    <w:p>
      <w:pPr>
        <w:pStyle w:val="ListBullet"/>
        <w:spacing w:after="20"/>
      </w:pPr>
      <w:r>
        <w:rPr>
          <w:sz w:val="18"/>
        </w:rPr>
        <w:t>Liaisons causales : résolution des transferts, délais, intensités et asymétries entre objets.</w:t>
      </w:r>
    </w:p>
    <w:p>
      <w:pPr>
        <w:pStyle w:val="ListBullet"/>
        <w:spacing w:after="20"/>
      </w:pPr>
      <w:r>
        <w:rPr>
          <w:sz w:val="18"/>
        </w:rPr>
        <w:t>Chaîne critique : le proxy causal le moins résolu borne la finesse utile de la conclusion.</w:t>
      </w:r>
    </w:p>
    <w:p>
      <w:pPr>
        <w:spacing w:before="160" w:after="80"/>
      </w:pPr>
      <w:r>
        <w:rPr>
          <w:b/>
          <w:color w:val="2F7DBE"/>
          <w:sz w:val="24"/>
        </w:rPr>
        <w:t>29.3 Règle d’ajout d’un proxy</w:t>
      </w:r>
    </w:p>
    <w:p>
      <w:pPr>
        <w:pStyle w:val="ListBullet"/>
        <w:spacing w:after="20"/>
      </w:pPr>
      <w:r>
        <w:rPr>
          <w:sz w:val="18"/>
        </w:rPr>
        <w:t>Accepter un proxy seulement s’il réduit l’incertitude ou resserre effectivement la frontière possible/impossible.</w:t>
      </w:r>
    </w:p>
    <w:p>
      <w:pPr>
        <w:pStyle w:val="ListBullet"/>
        <w:spacing w:after="20"/>
      </w:pPr>
      <w:r>
        <w:rPr>
          <w:sz w:val="18"/>
        </w:rPr>
        <w:t>Refuser un proxy dont les décimales ajoutées ne sont pas calibrées : il augmente σ et la dette.</w:t>
      </w:r>
    </w:p>
    <w:p>
      <w:pPr>
        <w:pStyle w:val="ListBullet"/>
        <w:spacing w:after="20"/>
      </w:pPr>
      <w:r>
        <w:rPr>
          <w:sz w:val="18"/>
        </w:rPr>
        <w:t>Ne jamais confondre précision d’affichage, résolution instrumentale et exactitude causale.</w:t>
      </w:r>
    </w:p>
    <w:tbl>
      <w:tblPr>
        <w:tblW w:type="auto" w:w="0"/>
        <w:tblLook w:firstColumn="1" w:firstRow="1" w:lastColumn="0" w:lastRow="0" w:noHBand="0" w:noVBand="1" w:val="04A0"/>
      </w:tblPr>
      <w:tblGrid>
        <w:gridCol w:w="10368"/>
      </w:tblGrid>
      <w:tr>
        <w:tc>
          <w:tcPr>
            <w:tcW w:type="dxa" w:w="10368"/>
            <w:shd w:fill="F4CCCC"/>
          </w:tcPr>
          <w:p>
            <w:pPr>
              <w:spacing w:after="0"/>
            </w:pPr>
            <w:r>
              <w:rPr>
                <w:b/>
                <w:color w:val="C62828"/>
                <w:sz w:val="19"/>
              </w:rPr>
              <w:t>BORNE — Plus de proxys ou plus de zéros après la virgule n’améliorent pas automatiquement le calcul. La finesse n’augmente que si l’incertitude causale du couple local + voisins diminue effectivement.</w:t>
            </w:r>
          </w:p>
        </w:tc>
      </w:tr>
    </w:tbl>
    <w:p>
      <w:pPr>
        <w:pageBreakBefore/>
        <w:spacing w:before="160" w:after="80"/>
      </w:pPr>
      <w:r>
        <w:rPr>
          <w:b/>
          <w:color w:val="2F7DBE"/>
          <w:sz w:val="32"/>
        </w:rPr>
        <w:t>30. Sélection des futurs — filtre négatif et dette multicadre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9"/>
              </w:rPr>
              <w:t>RÉSULTAT — La cohérence ne produit pas nécessairement un futur unique. Elle produit d’abord l’ensemble des futurs admissibles, puis un ordre partiel par dette multicadre. Un choix unique n’existe que si un candidat domine les autres ou si une règle d’arbitrage a été fixée avant d’observer les résultats.</w:t>
            </w:r>
          </w:p>
        </w:tc>
      </w:tr>
    </w:tbl>
    <w:p>
      <w:pPr>
        <w:spacing w:before="160" w:after="80"/>
      </w:pPr>
      <w:r>
        <w:rPr>
          <w:b/>
          <w:color w:val="2F7DBE"/>
          <w:sz w:val="24"/>
        </w:rPr>
        <w:t>30.1 Projection négative</w:t>
      </w:r>
    </w:p>
    <w:p>
      <w:pPr>
        <w:spacing w:before="40" w:after="40"/>
        <w:jc w:val="center"/>
      </w:pPr>
      <w:r>
        <w:rPr>
          <w:b/>
          <w:color w:val="1F4E79"/>
          <w:sz w:val="21"/>
        </w:rPr>
        <w:t>F_adm = {f ∈ F : V⁻(f) = 0}</w:t>
      </w:r>
    </w:p>
    <w:p>
      <w:pPr>
        <w:pStyle w:val="ListBullet"/>
        <w:spacing w:after="20"/>
      </w:pPr>
      <w:r>
        <w:rPr>
          <w:sz w:val="18"/>
        </w:rPr>
        <w:t>Veto de domaine : état impossible ou proxy indispensable absent.</w:t>
      </w:r>
    </w:p>
    <w:p>
      <w:pPr>
        <w:pStyle w:val="ListBullet"/>
        <w:spacing w:after="20"/>
      </w:pPr>
      <w:r>
        <w:rPr>
          <w:sz w:val="18"/>
        </w:rPr>
        <w:t>Veto d’invariant : violation critique dans un cadre local, pair, inférieur ou supérieur affecté.</w:t>
      </w:r>
    </w:p>
    <w:p>
      <w:pPr>
        <w:pStyle w:val="ListBullet"/>
        <w:spacing w:after="20"/>
      </w:pPr>
      <w:r>
        <w:rPr>
          <w:sz w:val="18"/>
        </w:rPr>
        <w:t>Veto causal : bénéfice supérieur annoncé sans chaîne causale mesurée.</w:t>
      </w:r>
    </w:p>
    <w:p>
      <w:pPr>
        <w:pStyle w:val="ListBullet"/>
        <w:spacing w:after="20"/>
      </w:pPr>
      <w:r>
        <w:rPr>
          <w:sz w:val="18"/>
        </w:rPr>
        <w:t>NON_MESURÉ n’est jamais converti en zéro : le futur reste expérimental et non promouvable.</w:t>
      </w:r>
    </w:p>
    <w:p>
      <w:pPr>
        <w:spacing w:before="160" w:after="80"/>
      </w:pPr>
      <w:r>
        <w:rPr>
          <w:b/>
          <w:color w:val="2F7DBE"/>
          <w:sz w:val="24"/>
        </w:rPr>
        <w:t>30.2 Dette comme vecteur, pas comme moyenne</w:t>
      </w:r>
    </w:p>
    <w:p>
      <w:pPr>
        <w:spacing w:before="40" w:after="40"/>
        <w:jc w:val="center"/>
      </w:pPr>
      <w:r>
        <w:rPr>
          <w:b/>
          <w:color w:val="1F4E79"/>
          <w:sz w:val="21"/>
        </w:rPr>
        <w:t>D(f) = (D_local(f), D_relationnel(f), D_supérieurs affectés(f))</w:t>
      </w:r>
    </w:p>
    <w:p>
      <w:pPr>
        <w:spacing w:after="60"/>
      </w:pPr>
      <w:r>
        <w:rPr>
          <w:sz w:val="18"/>
        </w:rPr>
        <w:t>Un futur f domine g si sa dette n’est supérieure dans aucun cadre affecté et qu’elle est strictement inférieure dans au moins un. Aucune amélioration locale ne peut acheter une régression critique ailleurs.</w:t>
      </w:r>
    </w:p>
    <w:p>
      <w:pPr>
        <w:spacing w:before="40" w:after="40"/>
        <w:jc w:val="center"/>
      </w:pPr>
      <w:r>
        <w:rPr>
          <w:b/>
          <w:color w:val="1F4E79"/>
          <w:sz w:val="21"/>
        </w:rPr>
        <w:t>f ≺ g ⇔ ∀k, D_k(f) ≤ D_k(g) et ∃j, D_j(f) &lt; D_j(g)</w:t>
      </w:r>
    </w:p>
    <w:p>
      <w:pPr>
        <w:spacing w:before="160" w:after="80"/>
      </w:pPr>
      <w:r>
        <w:rPr>
          <w:b/>
          <w:color w:val="2F7DBE"/>
          <w:sz w:val="24"/>
        </w:rPr>
        <w:t>30.3 Règle de décision</w:t>
      </w:r>
    </w:p>
    <w:p>
      <w:pPr>
        <w:pStyle w:val="ListBullet"/>
        <w:spacing w:after="20"/>
      </w:pPr>
      <w:r>
        <w:rPr>
          <w:sz w:val="18"/>
        </w:rPr>
        <w:t>Un seul futur non dominé : le sélectionner.</w:t>
      </w:r>
    </w:p>
    <w:p>
      <w:pPr>
        <w:pStyle w:val="ListBullet"/>
        <w:spacing w:after="20"/>
      </w:pPr>
      <w:r>
        <w:rPr>
          <w:sz w:val="18"/>
        </w:rPr>
        <w:t>Plusieurs futurs non dominés : reconnaître qu’ils sont incomparables ; ne pas fabriquer un score total après coup.</w:t>
      </w:r>
    </w:p>
    <w:p>
      <w:pPr>
        <w:pStyle w:val="ListBullet"/>
        <w:spacing w:after="20"/>
      </w:pPr>
      <w:r>
        <w:rPr>
          <w:sz w:val="18"/>
        </w:rPr>
        <w:t>Pour trancher, geler avant calcul une règle non compensatoire, par exemple minimiser la dette normalisée maximale, puis seulement départager les égalités.</w:t>
      </w:r>
    </w:p>
    <w:p>
      <w:pPr>
        <w:spacing w:before="40" w:after="40"/>
        <w:jc w:val="center"/>
      </w:pPr>
      <w:r>
        <w:rPr>
          <w:b/>
          <w:color w:val="1F4E79"/>
          <w:sz w:val="21"/>
        </w:rPr>
        <w:t>f* = arg min_{f ∈ Pareto(F_adm)} max_k [D_k(f) / B_k]</w:t>
      </w:r>
    </w:p>
    <w:p>
      <w:pPr>
        <w:spacing w:before="160" w:after="80"/>
      </w:pPr>
      <w:r>
        <w:rPr>
          <w:b/>
          <w:color w:val="2F7DBE"/>
          <w:sz w:val="24"/>
        </w:rPr>
        <w:t>30.4 Borne de finesse</w:t>
      </w:r>
    </w:p>
    <w:p>
      <w:pPr>
        <w:pStyle w:val="ListBullet"/>
        <w:spacing w:after="20"/>
      </w:pPr>
      <w:r>
        <w:rPr>
          <w:sz w:val="18"/>
        </w:rPr>
        <w:t>Le classement ne peut être plus précis que le proxy le moins résolu de la chaîne causale qui distingue deux futurs.</w:t>
      </w:r>
    </w:p>
    <w:p>
      <w:pPr>
        <w:pStyle w:val="ListBullet"/>
        <w:spacing w:after="20"/>
      </w:pPr>
      <w:r>
        <w:rPr>
          <w:sz w:val="18"/>
        </w:rPr>
        <w:t>Si l’écart de dette est inférieur à l’incertitude propagée, le verdict est INDISTINGUABLE, pas égal.</w:t>
      </w:r>
    </w:p>
    <w:p>
      <w:pPr>
        <w:pStyle w:val="ListBullet"/>
        <w:spacing w:after="20"/>
      </w:pPr>
      <w:r>
        <w:rPr>
          <w:sz w:val="18"/>
        </w:rPr>
        <w:t>Ajouter des objets voisins n’est utile que s’ils modifient le domaine, un veto, la dette ou l’incertitude de classement.</w:t>
      </w:r>
    </w:p>
    <w:tbl>
      <w:tblPr>
        <w:tblW w:type="auto" w:w="0"/>
        <w:tblLook w:firstColumn="1" w:firstRow="1" w:lastColumn="0" w:lastRow="0" w:noHBand="0" w:noVBand="1" w:val="04A0"/>
      </w:tblPr>
      <w:tblGrid>
        <w:gridCol w:w="10368"/>
      </w:tblGrid>
      <w:tr>
        <w:tc>
          <w:tcPr>
            <w:tcW w:type="dxa" w:w="10368"/>
            <w:shd w:fill="F4CCCC"/>
          </w:tcPr>
          <w:p>
            <w:pPr>
              <w:spacing w:after="0"/>
            </w:pPr>
            <w:r>
              <w:rPr>
                <w:b/>
                <w:color w:val="C62828"/>
                <w:sz w:val="19"/>
              </w:rPr>
              <w:t>ÉVIDENCE TROUVÉE — Le filtre négatif borne le possible ; la dette minimale ordonne l’admissible. Mais cet ordre est généralement partiel. Forcer un futur unique sans règle préalable recrée du bruit, de l’arbitraire et de la dette.</w:t>
            </w:r>
          </w:p>
        </w:tc>
      </w:tr>
    </w:tbl>
    <w:p>
      <w:pPr>
        <w:pageBreakBefore/>
        <w:spacing w:before="140" w:after="60"/>
      </w:pPr>
      <w:r>
        <w:rPr>
          <w:b/>
          <w:color w:val="2F7DBE"/>
          <w:sz w:val="32"/>
        </w:rPr>
        <w:t>31. Dette — profil propre et compensation vers une cohérence atteignable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VERDICT — La formulation de Frédéric est plus cohérente que le coût ou le temps seuls. Chaque objet affecté porte son propre profil : perte depuis E⁰ et écart vers F†. L’englobant compense l’écart induit dans ses proxys vers une cible atteignable ; temps et exergie en sont des projections.</w:t>
            </w:r>
          </w:p>
        </w:tc>
      </w:tr>
    </w:tbl>
    <w:p>
      <w:pPr>
        <w:spacing w:before="140" w:after="60"/>
      </w:pPr>
      <w:r>
        <w:rPr>
          <w:b/>
          <w:color w:val="2F7DBE"/>
          <w:sz w:val="24"/>
        </w:rPr>
        <w:t>31.1 Objet minimal : le profil résiduel causal</w:t>
      </w:r>
    </w:p>
    <w:p>
      <w:pPr>
        <w:spacing w:before="40" w:after="40"/>
        <w:jc w:val="center"/>
      </w:pPr>
      <w:r>
        <w:rPr>
          <w:b/>
          <w:color w:val="1F4E79"/>
          <w:sz w:val="21"/>
        </w:rPr>
        <w:t>𝒟_{C⁺}(a) = [perte depuis E⁰_{C⁺} ; r_{C⁺}(t | a)] jusqu’à l’atteinte durable d’une cible dans F†_{C⁺}</w:t>
      </w:r>
    </w:p>
    <w:p>
      <w:pPr>
        <w:spacing w:before="40" w:after="40"/>
        <w:jc w:val="center"/>
      </w:pPr>
      <w:r>
        <w:rPr>
          <w:b/>
          <w:color w:val="1F4E79"/>
          <w:sz w:val="21"/>
        </w:rPr>
        <w:t>rᵢ(t | a) = [dᵢ(pᵢᵃ(t), Eᵢ) − dᵢ(pᵢ⁰(t), Eᵢ)]₊</w:t>
      </w:r>
    </w:p>
    <w:p>
      <w:pPr>
        <w:pStyle w:val="ListBullet"/>
        <w:spacing w:after="20"/>
      </w:pPr>
      <w:r>
        <w:rPr>
          <w:sz w:val="18"/>
        </w:rPr>
        <w:t>C⁺ est le premier cadre supérieur relationnel englobant effectivement atteint par l’action locale a.</w:t>
      </w:r>
    </w:p>
    <w:p>
      <w:pPr>
        <w:pStyle w:val="ListBullet"/>
        <w:spacing w:after="20"/>
      </w:pPr>
      <w:r>
        <w:rPr>
          <w:sz w:val="18"/>
        </w:rPr>
        <w:t>E⁰ est la référence historique de la perte ; F† est la frontière des meilleurs états encore atteignables sous les nouveaux invariants. Dans la formule, Eᵢ est une cible choisie dans F† et peut différer de E⁰.</w:t>
      </w:r>
    </w:p>
    <w:p>
      <w:pPr>
        <w:pStyle w:val="ListBullet"/>
        <w:spacing w:after="20"/>
      </w:pPr>
      <w:r>
        <w:rPr>
          <w:sz w:val="18"/>
        </w:rPr>
        <w:t>pᵃ est la trajectoire avec l’action ; p⁰ la trajectoire contrefactuelle sans cette action. Leur différence isole un incrément causal seulement dans des proxys comparables ; elle n’efface jamais la perte depuis E⁰.</w:t>
      </w:r>
    </w:p>
    <w:p>
      <w:pPr>
        <w:pStyle w:val="ListBullet"/>
        <w:spacing w:after="20"/>
      </w:pPr>
      <w:r>
        <w:rPr>
          <w:sz w:val="18"/>
        </w:rPr>
        <w:t>Le profil r(t) conserve simultanément ce qui doit être compensé, son évolution et sa propagation ; il n’impose aucune moyenne prématurée.</w:t>
      </w:r>
    </w:p>
    <w:p>
      <w:pPr>
        <w:spacing w:before="140" w:after="60"/>
      </w:pPr>
      <w:r>
        <w:rPr>
          <w:b/>
          <w:color w:val="2F7DBE"/>
          <w:sz w:val="24"/>
        </w:rPr>
        <w:t>31.2 Observables dérivés — non substituables</w:t>
      </w:r>
    </w:p>
    <w:p>
      <w:pPr>
        <w:spacing w:before="40" w:after="40"/>
        <w:jc w:val="center"/>
      </w:pPr>
      <w:r>
        <w:rPr>
          <w:b/>
          <w:color w:val="1F4E79"/>
          <w:sz w:val="21"/>
        </w:rPr>
        <w:t>K*_{C⁺}(a) = compensation minimale permettant l’atteinte durable d’une cible choisie dans F†_{C⁺}</w:t>
      </w:r>
    </w:p>
    <w:p>
      <w:pPr>
        <w:spacing w:before="40" w:after="40"/>
        <w:jc w:val="center"/>
      </w:pPr>
      <w:r>
        <w:rPr>
          <w:b/>
          <w:color w:val="1F4E79"/>
          <w:sz w:val="21"/>
        </w:rPr>
        <w:t>τ_{C⁺}(a) = premier temps après lequel r_{C⁺} reste sous résolution</w:t>
      </w:r>
    </w:p>
    <w:p>
      <w:pPr>
        <w:spacing w:after="60"/>
      </w:pPr>
      <w:r>
        <w:t>K* décrit ce que le cadre doit compenser ; τ décrit combien de temps son écart persiste. Les ressources, l’énergie et le contrôle expliquent la dynamique de compensation, mais ne doivent pas être confondus avec le profil d’écart propre au cadre.</w:t>
      </w:r>
    </w:p>
    <w:p>
      <w:pPr>
        <w:spacing w:before="140" w:after="60"/>
      </w:pPr>
      <w:r>
        <w:rPr>
          <w:b/>
          <w:color w:val="2F7DBE"/>
          <w:sz w:val="24"/>
        </w:rPr>
        <w:t>31.3 Calcul falsifiant les définitions concurrentes</w:t>
      </w:r>
    </w:p>
    <w:p>
      <w:pPr>
        <w:pStyle w:val="ListBullet"/>
        <w:spacing w:after="20"/>
      </w:pPr>
      <w:r>
        <w:rPr>
          <w:sz w:val="18"/>
        </w:rPr>
        <w:t>Modèle : r(t)=r₀e^(−λt), seuil 0,1. Cas A : r₀=10, λ=10 → compensation 9,9 ; retour 0,46.</w:t>
      </w:r>
    </w:p>
    <w:p>
      <w:pPr>
        <w:pStyle w:val="ListBullet"/>
        <w:spacing w:after="20"/>
      </w:pPr>
      <w:r>
        <w:rPr>
          <w:sz w:val="18"/>
        </w:rPr>
        <w:t>Cas B : r₀=1, λ=0,1 → compensation 0,9 ; retour 23,03.</w:t>
      </w:r>
    </w:p>
    <w:p>
      <w:pPr>
        <w:pStyle w:val="ListBullet"/>
        <w:spacing w:after="20"/>
      </w:pPr>
      <w:r>
        <w:rPr>
          <w:sz w:val="18"/>
        </w:rPr>
        <w:t>Le temps seul classe B comme plus endetté alors que A impose onze fois plus de compensation : le temps seul est insuffisant.</w:t>
      </w:r>
    </w:p>
    <w:p>
      <w:pPr>
        <w:pStyle w:val="ListBullet"/>
        <w:spacing w:after="20"/>
      </w:pPr>
      <w:r>
        <w:rPr>
          <w:sz w:val="18"/>
        </w:rPr>
        <w:t>Le coût d’intervention seul peut au contraire être nul pendant qu’un résidu persiste : le coût seul est également insuffisant.</w:t>
      </w:r>
    </w:p>
    <w:p>
      <w:pPr>
        <w:pStyle w:val="ListBullet"/>
        <w:spacing w:after="20"/>
      </w:pPr>
      <w:r>
        <w:rPr>
          <w:sz w:val="18"/>
        </w:rPr>
        <w:t>Le profil résiduel distingue A et B sans sacrifier la quantité à la durée ni la durée à la quantité.</w:t>
      </w:r>
    </w:p>
    <w:p>
      <w:pPr>
        <w:spacing w:before="140" w:after="60"/>
      </w:pPr>
      <w:r>
        <w:rPr>
          <w:b/>
          <w:color w:val="2F7DBE"/>
          <w:sz w:val="24"/>
        </w:rPr>
        <w:t>31.4 Propagation et verdict</w:t>
      </w:r>
    </w:p>
    <w:p>
      <w:pPr>
        <w:pStyle w:val="ListBullet"/>
        <w:spacing w:after="20"/>
      </w:pPr>
      <w:r>
        <w:t>Chaque objet affecté porte son propre écart. Le résidu d’un cadre peut induire une dette distincte dans l’englobant sans annuler celle du cadre local ni la recopier.</w:t>
      </w:r>
    </w:p>
    <w:p>
      <w:pPr>
        <w:pStyle w:val="ListBullet"/>
        <w:spacing w:after="20"/>
      </w:pPr>
      <w:r>
        <w:rPr>
          <w:sz w:val="18"/>
        </w:rPr>
        <w:t>Suivre le profil jusqu’au dernier cadre supérieur causalement atteint, sans recompter le même effet physique.</w:t>
      </w:r>
    </w:p>
    <w:p>
      <w:pPr>
        <w:pStyle w:val="ListBullet"/>
        <w:spacing w:after="20"/>
      </w:pPr>
      <w:r>
        <w:rPr>
          <w:sz w:val="18"/>
        </w:rPr>
        <w:t>Résidu non compensable ou invariant critique détruit : veto ; profil, référence ou retour non mesuré : NON_MESURÉ.</w:t>
      </w:r>
    </w:p>
    <w:p>
      <w:pPr>
        <w:pStyle w:val="ListBullet"/>
        <w:spacing w:after="20"/>
      </w:pPr>
      <w:r>
        <w:rPr>
          <w:sz w:val="18"/>
        </w:rPr>
        <w:t>Comparer les profils par domination multicritère. Une réduction du temps ne compense pas une aggravation critique du résidu.</w:t>
      </w:r>
    </w:p>
    <w:tbl>
      <w:tblPr>
        <w:tblW w:type="auto" w:w="0"/>
        <w:tblLook w:firstColumn="1" w:firstRow="1" w:lastColumn="0" w:lastRow="0" w:noHBand="0" w:noVBand="1" w:val="04A0"/>
      </w:tblPr>
      <w:tblGrid>
        <w:gridCol w:w="10368"/>
      </w:tblGrid>
      <w:tr>
        <w:tc>
          <w:tcPr>
            <w:tcW w:type="dxa" w:w="10368"/>
            <w:shd w:fill="F4CCCC"/>
          </w:tcPr>
          <w:p>
            <w:pPr>
              <w:spacing w:after="0"/>
            </w:pPr>
            <w:r>
              <w:rPr>
                <w:b/>
                <w:color w:val="C62828"/>
                <w:sz w:val="18"/>
              </w:rPr>
              <w:t>CONCLUSION — La dette est le profil propre à chaque objet : perte irréversible depuis E⁰ et écart résorbable vers F†. La compensation est le chemin d’action vers une cible atteignable. Quantité, temps et exergie restent visibles et non substituables ; aucun score unique prématuré.</w:t>
            </w:r>
          </w:p>
        </w:tc>
      </w:tr>
    </w:tbl>
    <w:p>
      <w:pPr>
        <w:pageBreakBefore/>
        <w:spacing w:before="140" w:after="60"/>
      </w:pPr>
      <w:r>
        <w:rPr>
          <w:b/>
          <w:color w:val="2F7DBE"/>
          <w:sz w:val="30"/>
        </w:rPr>
        <w:t>32. Temps, résorption fonctionnelle de la dette et probabilité de casse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RÉSULTAT — La dette est l’écart propre à tout objet affecté ; la capacité de compensation de son cadre détermine le temps nécessaire à sa résorption fonctionnelle. L’exposition de l’objet à cet écart pendant ce temps produit sa trajectoire de dégradation et peut borner un futur de casse.</w:t>
            </w:r>
          </w:p>
        </w:tc>
      </w:tr>
    </w:tbl>
    <w:p>
      <w:pPr>
        <w:spacing w:before="140" w:after="60"/>
      </w:pPr>
      <w:r>
        <w:rPr>
          <w:b/>
          <w:color w:val="2F7DBE"/>
          <w:sz w:val="24"/>
        </w:rPr>
        <w:t>32.1 Dynamique minimale</w:t>
      </w:r>
    </w:p>
    <w:p>
      <w:pPr>
        <w:spacing w:before="40" w:after="40"/>
        <w:jc w:val="center"/>
      </w:pPr>
      <w:r>
        <w:rPr>
          <w:b/>
          <w:color w:val="1F4E79"/>
          <w:sz w:val="21"/>
        </w:rPr>
        <w:t>dD/dt = I(t) − ρ_{C⁺}(D,t)</w:t>
      </w:r>
    </w:p>
    <w:p>
      <w:pPr>
        <w:pStyle w:val="ListBullet"/>
        <w:spacing w:after="20"/>
      </w:pPr>
      <w:r>
        <w:rPr>
          <w:sz w:val="18"/>
        </w:rPr>
        <w:t>D(t) : dette résiduelle portée par le cadre supérieur C⁺.</w:t>
      </w:r>
    </w:p>
    <w:p>
      <w:pPr>
        <w:pStyle w:val="ListBullet"/>
        <w:spacing w:after="20"/>
      </w:pPr>
      <w:r>
        <w:t>I(t) : nouvel écart causal induit dans ce cadre par les objets locaux et voisins.</w:t>
      </w:r>
    </w:p>
    <w:p>
      <w:pPr>
        <w:pStyle w:val="ListBullet"/>
        <w:spacing w:after="20"/>
      </w:pPr>
      <w:r>
        <w:rPr>
          <w:sz w:val="18"/>
        </w:rPr>
        <w:t>ρ_{C⁺} : capacité causale du cadre à compenser la dette par unité de temps.</w:t>
      </w:r>
    </w:p>
    <w:p>
      <w:pPr>
        <w:spacing w:before="40" w:after="40"/>
        <w:jc w:val="center"/>
      </w:pPr>
      <w:r>
        <w:t>τ_résorp = inf{τ ≥ 0 : D(t₀+s) reste sous résolution pour tout s ≥ τ}</w:t>
      </w:r>
    </w:p>
    <w:p>
      <w:pPr>
        <w:spacing w:before="140" w:after="60"/>
      </w:pPr>
      <w:r>
        <w:rPr>
          <w:b/>
          <w:color w:val="2F7DBE"/>
          <w:sz w:val="24"/>
        </w:rPr>
        <w:t>32.2 De la dette à la casse de l’objet</w:t>
      </w:r>
    </w:p>
    <w:p>
      <w:pPr>
        <w:spacing w:before="40" w:after="40"/>
        <w:jc w:val="center"/>
      </w:pPr>
      <w:r>
        <w:t>K_O(H) = ∫₀^{min(H,τ_résorp)} h_O(D(t), voisins(t)) dt</w:t>
      </w:r>
    </w:p>
    <w:p>
      <w:pPr>
        <w:pStyle w:val="ListBullet"/>
        <w:spacing w:after="20"/>
      </w:pPr>
      <w:r>
        <w:rPr>
          <w:sz w:val="18"/>
        </w:rPr>
        <w:t>h_O traduit la sensibilité de l’objet à la dette du cadre et aux interactions causales voisines.</w:t>
      </w:r>
    </w:p>
    <w:p>
      <w:pPr>
        <w:pStyle w:val="ListBullet"/>
        <w:spacing w:after="20"/>
      </w:pPr>
      <w:r>
        <w:rPr>
          <w:sz w:val="18"/>
        </w:rPr>
        <w:t>Casse si un invariant est violé, si un pic dépasse une borne critique ou si K_O atteint le seuil cumulé K_crit,O.</w:t>
      </w:r>
    </w:p>
    <w:p>
      <w:pPr>
        <w:pStyle w:val="ListBullet"/>
        <w:spacing w:after="20"/>
      </w:pPr>
      <w:r>
        <w:rPr>
          <w:sz w:val="18"/>
        </w:rPr>
        <w:t>Une moyenne cumulée ne masque jamais une rupture critique instantanée : le veto de pic reste prioritaire.</w:t>
      </w:r>
    </w:p>
    <w:p>
      <w:pPr>
        <w:spacing w:before="140" w:after="60"/>
      </w:pPr>
      <w:r>
        <w:rPr>
          <w:b/>
          <w:color w:val="2F7DBE"/>
          <w:sz w:val="24"/>
        </w:rPr>
        <w:t>32.3 Calcul minimal</w:t>
      </w:r>
    </w:p>
    <w:p>
      <w:pPr>
        <w:spacing w:before="40" w:after="40"/>
        <w:jc w:val="center"/>
      </w:pPr>
      <w:r>
        <w:t>Si I=0 et ρ est constant : τ_résorp = D₀/ρ ; si h_O(D)=kD : K_O = kD₀²/(2ρ)</w:t>
      </w:r>
    </w:p>
    <w:p>
      <w:pPr>
        <w:pStyle w:val="ListBullet"/>
        <w:spacing w:after="20"/>
      </w:pPr>
      <w:r>
        <w:rPr>
          <w:sz w:val="18"/>
        </w:rPr>
        <w:t>Exemple : D₀=10 et k=0,3. Avec ρ=2/jour : τ=5 jours et K=7,5.</w:t>
      </w:r>
    </w:p>
    <w:p>
      <w:pPr>
        <w:pStyle w:val="ListBullet"/>
        <w:spacing w:after="20"/>
      </w:pPr>
      <w:r>
        <w:rPr>
          <w:sz w:val="18"/>
        </w:rPr>
        <w:t>Avec la même dette mais ρ=1/jour : τ=10 jours et K=15.</w:t>
      </w:r>
    </w:p>
    <w:p>
      <w:pPr>
        <w:pStyle w:val="ListBullet"/>
        <w:spacing w:after="20"/>
      </w:pPr>
      <w:r>
        <w:rPr>
          <w:sz w:val="18"/>
        </w:rPr>
        <w:t>Pour K_crit=12, le premier futur tient et le second casse : le temps de compensation change le futur de l’objet.</w:t>
      </w:r>
    </w:p>
    <w:p>
      <w:pPr>
        <w:spacing w:before="140" w:after="60"/>
      </w:pPr>
      <w:r>
        <w:rPr>
          <w:b/>
          <w:color w:val="2F7DBE"/>
          <w:sz w:val="24"/>
        </w:rPr>
        <w:t>32.4 Futur probable</w:t>
      </w:r>
    </w:p>
    <w:p>
      <w:pPr>
        <w:spacing w:before="40" w:after="40"/>
        <w:jc w:val="center"/>
      </w:pPr>
      <w:r>
        <w:rPr>
          <w:b/>
          <w:color w:val="1F4E79"/>
          <w:sz w:val="21"/>
        </w:rPr>
        <w:t>P_casse(H) = P[∃t ≤ H : invariant violé ou K_O(t) ≥ K_crit,O]</w:t>
      </w:r>
    </w:p>
    <w:p>
      <w:pPr>
        <w:pStyle w:val="ListBullet"/>
        <w:spacing w:after="20"/>
      </w:pPr>
      <w:r>
        <w:rPr>
          <w:sz w:val="18"/>
        </w:rPr>
        <w:t>La probabilité vient uniquement de l’incertitude calibrée sur D₀, ρ, h_O, les voisins et les seuils ; sans distributions validées : NON_MESURÉ.</w:t>
      </w:r>
    </w:p>
    <w:p>
      <w:pPr>
        <w:pStyle w:val="ListBullet"/>
        <w:spacing w:after="20"/>
      </w:pPr>
      <w:r>
        <w:rPr>
          <w:sz w:val="18"/>
        </w:rPr>
        <w:t>Exemple illustratif : si ρ est uniforme entre 0,5 et 2, D₀=10, k=0,3 et K_crit=12, alors casse lorsque ρ≤1,25, soit P=50 %.</w:t>
      </w:r>
    </w:p>
    <w:p>
      <w:pPr>
        <w:spacing w:before="140" w:after="60"/>
      </w:pPr>
      <w:r>
        <w:rPr>
          <w:b/>
          <w:color w:val="2F7DBE"/>
          <w:sz w:val="24"/>
        </w:rPr>
        <w:t>32.5 Articulation avec S</w:t>
      </w:r>
    </w:p>
    <w:p>
      <w:pPr>
        <w:spacing w:before="40" w:after="40"/>
        <w:jc w:val="center"/>
      </w:pPr>
      <w:r>
        <w:rPr>
          <w:b/>
          <w:color w:val="1F4E79"/>
          <w:sz w:val="21"/>
        </w:rPr>
        <w:t>S_O(t) = [β(t) × ΔΦ(t)] / [1 + T(t) + σ(t)]</w:t>
      </w:r>
    </w:p>
    <w:p>
      <w:pPr>
        <w:pStyle w:val="ListBullet"/>
        <w:spacing w:after="20"/>
      </w:pPr>
      <w:r>
        <w:rPr>
          <w:sz w:val="18"/>
        </w:rPr>
        <w:t>Le temps paramètre la trajectoire de S et l’intégrale de dommage ; il n’est pas inséré brut dans le dénominateur de S.</w:t>
      </w:r>
    </w:p>
    <w:p>
      <w:pPr>
        <w:pStyle w:val="ListBullet"/>
        <w:spacing w:after="20"/>
      </w:pPr>
      <w:r>
        <w:rPr>
          <w:sz w:val="18"/>
        </w:rPr>
        <w:t>Ajouter directement une durée à T ou σ serait dimensionnellement invalide sans normalisation et sans proxy causal.</w:t>
      </w:r>
    </w:p>
    <w:p>
      <w:pPr>
        <w:pStyle w:val="ListBullet"/>
        <w:spacing w:after="20"/>
      </w:pPr>
      <w:r>
        <w:t>Le calcul final porte donc sur S(t), D(t), τ_résorp et K_O(t), dans la paire cadre local + cadre supérieur relationnel englobant.</w:t>
      </w:r>
    </w:p>
    <w:tbl>
      <w:tblPr>
        <w:tblW w:type="auto" w:w="0"/>
        <w:tblLook w:firstColumn="1" w:firstRow="1" w:lastColumn="0" w:lastRow="0" w:noHBand="0" w:noVBand="1" w:val="04A0"/>
      </w:tblPr>
      <w:tblGrid>
        <w:gridCol w:w="10368"/>
      </w:tblGrid>
      <w:tr>
        <w:tc>
          <w:tcPr>
            <w:tcW w:type="dxa" w:w="10368"/>
            <w:shd w:fill="F4CCCC"/>
          </w:tcPr>
          <w:p>
            <w:pPr>
              <w:spacing w:after="0"/>
            </w:pPr>
            <w:r>
              <w:rPr>
                <w:b/>
                <w:color w:val="C62828"/>
                <w:sz w:val="18"/>
              </w:rPr>
              <w:t>VERROU — Dette, temps et casse ne sont pas trois scores ajoutés. D est une projection conditionnelle de l’écart ; ρ gouverne sa compensation ; τ est sa durée ; K est l’effet cumulé sur l’objet. Cette chaîne borne le futur sous paramètres calibrés.</w:t>
            </w:r>
          </w:p>
        </w:tc>
      </w:tr>
    </w:tbl>
    <w:p>
      <w:pPr>
        <w:pageBreakBefore/>
        <w:spacing w:before="140" w:after="60"/>
      </w:pPr>
      <w:r>
        <w:rPr>
          <w:b/>
          <w:color w:val="2F7DBE"/>
          <w:sz w:val="32"/>
        </w:rPr>
        <w:t>33. Protocole absolu — calcul multicadre de chaque énoncé</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9"/>
              </w:rPr>
              <w:t>RÈGLE — Aucun énoncé de Frédéric ou de l’IA n’est retenu, développé ou intégré avant son calcul de cohérence dans le cadre local, le premier cadre supérieur relationnel englobant et tous les cadres causalement affectés.</w:t>
            </w:r>
          </w:p>
        </w:tc>
      </w:tr>
    </w:tbl>
    <w:p>
      <w:pPr>
        <w:spacing w:before="140" w:after="60"/>
      </w:pPr>
      <w:r>
        <w:rPr>
          <w:b/>
          <w:color w:val="2F7DBE"/>
          <w:sz w:val="24"/>
        </w:rPr>
        <w:t>33.1 Calcul obligatoire</w:t>
      </w:r>
    </w:p>
    <w:p>
      <w:pPr>
        <w:pStyle w:val="ListBullet"/>
        <w:spacing w:after="20"/>
      </w:pPr>
      <w:r>
        <w:rPr>
          <w:sz w:val="18"/>
        </w:rPr>
        <w:t>Définir l’objet, l’énoncé exact et l’état de référence avant l’analyse.</w:t>
      </w:r>
    </w:p>
    <w:p>
      <w:pPr>
        <w:pStyle w:val="ListBullet"/>
        <w:spacing w:after="20"/>
      </w:pPr>
      <w:r>
        <w:rPr>
          <w:sz w:val="18"/>
        </w:rPr>
        <w:t>Identifier le cadre local, le cadre relationnel englobant, les voisins et la chaîne causale supérieure.</w:t>
      </w:r>
    </w:p>
    <w:p>
      <w:pPr>
        <w:pStyle w:val="ListBullet"/>
        <w:spacing w:after="20"/>
      </w:pPr>
      <w:r>
        <w:rPr>
          <w:sz w:val="18"/>
        </w:rPr>
        <w:t>Geler invariants, proxys, seuils, résolution, temporalité et règle de comparaison.</w:t>
      </w:r>
    </w:p>
    <w:p>
      <w:pPr>
        <w:pStyle w:val="ListBullet"/>
        <w:spacing w:after="20"/>
      </w:pPr>
      <w:r>
        <w:t>Calculer par cadre : admissibilité, variation de cohérence, dette propre induite, capacité de compensation, temps et effets.</w:t>
      </w:r>
    </w:p>
    <w:p>
      <w:pPr>
        <w:pStyle w:val="ListBullet"/>
        <w:spacing w:after="20"/>
      </w:pPr>
      <w:r>
        <w:t>Comparer sans moyenne globale, sans transfert d’identité de dette et sans double comptage.</w:t>
      </w:r>
    </w:p>
    <w:p>
      <w:pPr>
        <w:spacing w:before="140" w:after="60"/>
      </w:pPr>
      <w:r>
        <w:rPr>
          <w:b/>
          <w:color w:val="2F7DBE"/>
          <w:sz w:val="24"/>
        </w:rPr>
        <w:t>33.2 Verdict par cadre</w:t>
      </w:r>
    </w:p>
    <w:p>
      <w:pPr>
        <w:pStyle w:val="ListBullet"/>
        <w:spacing w:after="20"/>
      </w:pPr>
      <w:r>
        <w:rPr>
          <w:sz w:val="18"/>
        </w:rPr>
        <w:t>PASS : gain ou préservation démontré, sans régression ni dette critique déplacée.</w:t>
      </w:r>
    </w:p>
    <w:p>
      <w:pPr>
        <w:pStyle w:val="ListBullet"/>
        <w:spacing w:after="20"/>
      </w:pPr>
      <w:r>
        <w:rPr>
          <w:sz w:val="18"/>
        </w:rPr>
        <w:t>FAIL : impossibilité, invariant violé ou régression non admissible dans un cadre affecté.</w:t>
      </w:r>
    </w:p>
    <w:p>
      <w:pPr>
        <w:pStyle w:val="ListBullet"/>
        <w:spacing w:after="20"/>
      </w:pPr>
      <w:r>
        <w:rPr>
          <w:sz w:val="18"/>
        </w:rPr>
        <w:t>NON_MESURÉ : proxy, cadre, causalité, référence ou résolution insuffisante ; jamais converti en zéro.</w:t>
      </w:r>
    </w:p>
    <w:p>
      <w:pPr>
        <w:pStyle w:val="ListBullet"/>
        <w:spacing w:after="20"/>
      </w:pPr>
      <w:r>
        <w:rPr>
          <w:sz w:val="18"/>
        </w:rPr>
        <w:t>Une proposition avec au moins un cadre affecté NON_MESURÉ reste expérimentale et non promouvable.</w:t>
      </w:r>
    </w:p>
    <w:p>
      <w:pPr>
        <w:spacing w:before="140" w:after="60"/>
      </w:pPr>
      <w:r>
        <w:rPr>
          <w:b/>
          <w:color w:val="2F7DBE"/>
          <w:sz w:val="24"/>
        </w:rPr>
        <w:t>33.3 Affichage obligatoire</w:t>
      </w:r>
    </w:p>
    <w:p>
      <w:pPr>
        <w:pStyle w:val="ListBullet"/>
        <w:spacing w:after="20"/>
      </w:pPr>
      <w:r>
        <w:rPr>
          <w:sz w:val="18"/>
        </w:rPr>
        <w:t>Présenter le verdict local, relationnel et supérieur avant toute conclusion.</w:t>
      </w:r>
    </w:p>
    <w:p>
      <w:pPr>
        <w:pStyle w:val="ListBullet"/>
        <w:spacing w:after="20"/>
      </w:pPr>
      <w:r>
        <w:rPr>
          <w:sz w:val="18"/>
        </w:rPr>
        <w:t>Afficher S numériquement uniquement si β, ΔΦ, T et σ sont définis, normalisés et mesurés.</w:t>
      </w:r>
    </w:p>
    <w:p>
      <w:pPr>
        <w:pStyle w:val="ListBullet"/>
        <w:spacing w:after="20"/>
      </w:pPr>
      <w:r>
        <w:rPr>
          <w:sz w:val="18"/>
        </w:rPr>
        <w:t>Sinon afficher S = NON_MESURÉ et fournir malgré tout le bornage qualitatif démontrable.</w:t>
      </w:r>
    </w:p>
    <w:tbl>
      <w:tblPr>
        <w:tblW w:type="auto" w:w="0"/>
        <w:tblLook w:firstColumn="1" w:firstRow="1" w:lastColumn="0" w:lastRow="0" w:noHBand="0" w:noVBand="1" w:val="04A0"/>
      </w:tblPr>
      <w:tblGrid>
        <w:gridCol w:w="10368"/>
      </w:tblGrid>
      <w:tr>
        <w:tc>
          <w:tcPr>
            <w:tcW w:type="dxa" w:w="10368"/>
            <w:shd w:fill="F4CCCC"/>
          </w:tcPr>
          <w:p>
            <w:pPr>
              <w:spacing w:after="0"/>
            </w:pPr>
            <w:r>
              <w:rPr>
                <w:b/>
                <w:color w:val="C62828"/>
                <w:sz w:val="19"/>
              </w:rPr>
              <w:t>BLOCAGE — Une formulation séduisante, intuitive ou issue du corpus ne contourne jamais ce calcul. Sans audit multicadre explicite : aucun verdict de cohérence.</w:t>
            </w:r>
          </w:p>
        </w:tc>
      </w:tr>
    </w:tbl>
    <w:p>
      <w:pPr>
        <w:pageBreakBefore/>
        <w:spacing w:before="140" w:after="60"/>
      </w:pPr>
      <w:r>
        <w:rPr>
          <w:b/>
          <w:color w:val="2F7DBE"/>
          <w:sz w:val="30"/>
        </w:rPr>
        <w:t>34. Projection scalaire conditionnelle — induction d’écart contre compensation</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RÉSULTAT — Dans cette projection scalaire, le futur du cadre est borné par deux flux : l’écart causal induit par unité de temps et la capacité de compensation disponible. Leur comparaison sépare récupération, métastabilité et casse sous hypothèses calibrées.</w:t>
            </w:r>
          </w:p>
        </w:tc>
      </w:tr>
    </w:tbl>
    <w:p>
      <w:pPr>
        <w:spacing w:before="140" w:after="60"/>
      </w:pPr>
      <w:r>
        <w:rPr>
          <w:b/>
          <w:color w:val="2F7DBE"/>
          <w:sz w:val="24"/>
        </w:rPr>
        <w:t>34.1 Équation minimale</w:t>
      </w:r>
    </w:p>
    <w:p>
      <w:pPr>
        <w:spacing w:before="40" w:after="40"/>
        <w:jc w:val="center"/>
      </w:pPr>
      <w:r>
        <w:rPr>
          <w:b/>
          <w:color w:val="1F4E79"/>
          <w:sz w:val="21"/>
        </w:rPr>
        <w:t>dD_k/dt = I_k(t) − ρ_k(D_k,t)</w:t>
      </w:r>
    </w:p>
    <w:p>
      <w:pPr>
        <w:pStyle w:val="ListBullet"/>
        <w:spacing w:after="20"/>
      </w:pPr>
      <w:r>
        <w:rPr>
          <w:sz w:val="18"/>
        </w:rPr>
        <w:t>D_k : dette résiduelle dans le cadre k.</w:t>
      </w:r>
    </w:p>
    <w:p>
      <w:pPr>
        <w:pStyle w:val="ListBullet"/>
        <w:spacing w:after="20"/>
      </w:pPr>
      <w:r>
        <w:t>I_k : débit d’écart causal induit dans k par les objets locaux, voisins et cadres inférieurs.</w:t>
      </w:r>
    </w:p>
    <w:p>
      <w:pPr>
        <w:pStyle w:val="ListBullet"/>
        <w:spacing w:after="20"/>
      </w:pPr>
      <w:r>
        <w:rPr>
          <w:sz w:val="18"/>
        </w:rPr>
        <w:t>ρ_k : débit de compensation réellement soutenable du cadre k.</w:t>
      </w:r>
    </w:p>
    <w:p>
      <w:pPr>
        <w:pStyle w:val="ListBullet"/>
        <w:spacing w:after="20"/>
      </w:pPr>
      <w:r>
        <w:rPr>
          <w:sz w:val="18"/>
        </w:rPr>
        <w:t>I_k et ρ_k doivent avoir la même unité de dette par unité de temps ; sinon le calcul est NON_MESURÉ.</w:t>
      </w:r>
    </w:p>
    <w:p>
      <w:pPr>
        <w:spacing w:before="140" w:after="60"/>
      </w:pPr>
      <w:r>
        <w:rPr>
          <w:b/>
          <w:color w:val="2F7DBE"/>
          <w:sz w:val="24"/>
        </w:rPr>
        <w:t>34.2 Les trois régimes</w:t>
      </w:r>
    </w:p>
    <w:p>
      <w:pPr>
        <w:pStyle w:val="ListBullet"/>
        <w:spacing w:after="20"/>
      </w:pPr>
      <w:r>
        <w:rPr>
          <w:sz w:val="18"/>
        </w:rPr>
        <w:t>ρ_k &gt; I_k : dette décroissante ; récupération possible.</w:t>
      </w:r>
    </w:p>
    <w:p>
      <w:pPr>
        <w:pStyle w:val="ListBullet"/>
        <w:spacing w:after="20"/>
      </w:pPr>
      <w:r>
        <w:t>ρ_k = I_k : dette constante ; métastabilité, sans résorption fonctionnelle.</w:t>
      </w:r>
    </w:p>
    <w:p>
      <w:pPr>
        <w:pStyle w:val="ListBullet"/>
        <w:spacing w:after="20"/>
      </w:pPr>
      <w:r>
        <w:rPr>
          <w:sz w:val="18"/>
        </w:rPr>
        <w:t>ρ_k &lt; I_k : dette croissante ; casse finie si une borne B_k existe.</w:t>
      </w:r>
    </w:p>
    <w:p>
      <w:pPr>
        <w:spacing w:before="40" w:after="40"/>
        <w:jc w:val="center"/>
      </w:pPr>
      <w:r>
        <w:t>τ_résorp = D₀/(ρ−I) si ρ&gt;I</w:t>
      </w:r>
    </w:p>
    <w:p>
      <w:pPr>
        <w:spacing w:before="40" w:after="40"/>
        <w:jc w:val="center"/>
      </w:pPr>
      <w:r>
        <w:rPr>
          <w:b/>
          <w:color w:val="1F4E79"/>
          <w:sz w:val="21"/>
        </w:rPr>
        <w:t>τ_casse = (B−D₀)/(I−ρ) si I&gt;ρ et D₀&lt;B</w:t>
      </w:r>
    </w:p>
    <w:p>
      <w:pPr>
        <w:spacing w:before="140" w:after="60"/>
      </w:pPr>
      <w:r>
        <w:rPr>
          <w:b/>
          <w:color w:val="2F7DBE"/>
          <w:sz w:val="24"/>
        </w:rPr>
        <w:t>34.3 Calcul de contrôle</w:t>
      </w:r>
    </w:p>
    <w:p>
      <w:pPr>
        <w:pStyle w:val="ListBullet"/>
        <w:spacing w:after="20"/>
      </w:pPr>
      <w:r>
        <w:rPr>
          <w:sz w:val="18"/>
        </w:rPr>
        <w:t>D₀=10, borne B=30, débits constants.</w:t>
      </w:r>
    </w:p>
    <w:p>
      <w:pPr>
        <w:pStyle w:val="ListBullet"/>
        <w:spacing w:after="20"/>
      </w:pPr>
      <w:r>
        <w:rPr>
          <w:sz w:val="18"/>
        </w:rPr>
        <w:t>I=1 et ρ=2 : dette nette −1 ; résorption fonctionnelle en 10 unités de temps.</w:t>
      </w:r>
    </w:p>
    <w:p>
      <w:pPr>
        <w:pStyle w:val="ListBullet"/>
        <w:spacing w:after="20"/>
      </w:pPr>
      <w:r>
        <w:rPr>
          <w:sz w:val="18"/>
        </w:rPr>
        <w:t>I=2 et ρ=2 : dette maintenue à 10 ; aucune résorption, aucune casse tant que les débits restent identiques.</w:t>
      </w:r>
    </w:p>
    <w:p>
      <w:pPr>
        <w:pStyle w:val="ListBullet"/>
        <w:spacing w:after="20"/>
      </w:pPr>
      <w:r>
        <w:rPr>
          <w:sz w:val="18"/>
        </w:rPr>
        <w:t>I=3 et ρ=2 : dette nette +1 ; borne 30 atteinte en 20 unités de temps.</w:t>
      </w:r>
    </w:p>
    <w:p>
      <w:pPr>
        <w:spacing w:before="140" w:after="60"/>
      </w:pPr>
      <w:r>
        <w:rPr>
          <w:b/>
          <w:color w:val="2F7DBE"/>
          <w:sz w:val="24"/>
        </w:rPr>
        <w:t>34.4 Cascade multicadre</w:t>
      </w:r>
    </w:p>
    <w:p>
      <w:pPr>
        <w:spacing w:before="40" w:after="40"/>
        <w:jc w:val="center"/>
      </w:pPr>
      <w:r>
        <w:t>I_{k+1}(t) = écart causal induit dans k+1 par l’activité du cadre k</w:t>
      </w:r>
    </w:p>
    <w:p>
      <w:pPr>
        <w:pStyle w:val="ListBullet"/>
        <w:spacing w:after="20"/>
      </w:pPr>
      <w:r>
        <w:t>Compenser D_k peut consommer ou déplacer des ressources et induire un nouvel écart propre au cadre supérieur k+1.</w:t>
      </w:r>
    </w:p>
    <w:p>
      <w:pPr>
        <w:pStyle w:val="ListBullet"/>
        <w:spacing w:after="20"/>
      </w:pPr>
      <w:r>
        <w:t>Cette transformation causale n’est ni supposée égale ni proportionnelle : elle exige des proxys propres à la relation k→k+1.</w:t>
      </w:r>
    </w:p>
    <w:p>
      <w:pPr>
        <w:pStyle w:val="ListBullet"/>
        <w:spacing w:after="20"/>
      </w:pPr>
      <w:r>
        <w:t>Conserver la provenance de chaque événement ; chaque cadre affecté mesure son propre écart, sans recopier le même effet ni le compter deux fois.</w:t>
      </w:r>
    </w:p>
    <w:p>
      <w:pPr>
        <w:pStyle w:val="ListBullet"/>
        <w:spacing w:after="20"/>
      </w:pPr>
      <w:r>
        <w:rPr>
          <w:sz w:val="18"/>
        </w:rPr>
        <w:t>La trajectoire n’est admissible que si aucun cadre atteint n’entre dans un régime de surcharge critique non résorbable.</w:t>
      </w:r>
    </w:p>
    <w:p>
      <w:pPr>
        <w:spacing w:before="140" w:after="60"/>
      </w:pPr>
      <w:r>
        <w:rPr>
          <w:b/>
          <w:color w:val="2F7DBE"/>
          <w:sz w:val="24"/>
        </w:rPr>
        <w:t>34.5 Calcul multicadre de cet énoncé</w:t>
      </w:r>
    </w:p>
    <w:p>
      <w:pPr>
        <w:pStyle w:val="ListBullet"/>
        <w:spacing w:after="20"/>
      </w:pPr>
      <w:r>
        <w:rPr>
          <w:sz w:val="18"/>
        </w:rPr>
        <w:t>Cadre local : PASS mathématique sous débits constants et unités communes.</w:t>
      </w:r>
    </w:p>
    <w:p>
      <w:pPr>
        <w:pStyle w:val="ListBullet"/>
        <w:spacing w:after="20"/>
      </w:pPr>
      <w:r>
        <w:rPr>
          <w:sz w:val="18"/>
        </w:rPr>
        <w:t>Cadre relationnel englobant : PASS ; les injections continues des voisins sont explicitement représentées.</w:t>
      </w:r>
    </w:p>
    <w:p>
      <w:pPr>
        <w:pStyle w:val="ListBullet"/>
        <w:spacing w:after="20"/>
      </w:pPr>
      <w:r>
        <w:t>Cadres supérieurs : PASS conditionnel aux opérateurs de transformation causale mesurés ; sinon NON_MESURÉ.</w:t>
      </w:r>
    </w:p>
    <w:p>
      <w:pPr>
        <w:pStyle w:val="ListBullet"/>
        <w:spacing w:after="20"/>
      </w:pPr>
      <w:r>
        <w:t>Cadre planétaire : NON_MESURÉ tant que les transformations causales et capacités de compensation ne sont pas instrumentées.</w:t>
      </w:r>
    </w:p>
    <w:tbl>
      <w:tblPr>
        <w:tblW w:type="auto" w:w="0"/>
        <w:tblLook w:firstColumn="1" w:firstRow="1" w:lastColumn="0" w:lastRow="0" w:noHBand="0" w:noVBand="1" w:val="04A0"/>
      </w:tblPr>
      <w:tblGrid>
        <w:gridCol w:w="10368"/>
      </w:tblGrid>
      <w:tr>
        <w:tc>
          <w:tcPr>
            <w:tcW w:type="dxa" w:w="10368"/>
            <w:shd w:fill="F4CCCC"/>
          </w:tcPr>
          <w:p>
            <w:pPr>
              <w:spacing w:after="0"/>
            </w:pPr>
            <w:r>
              <w:rPr>
                <w:b/>
                <w:color w:val="C62828"/>
                <w:sz w:val="18"/>
              </w:rPr>
              <w:t>BORNE — La frontière la plus simple du futur n’est pas la quantité de dette seule, mais le signe de I−ρ dans chaque cadre. Si l’induction soutenue dépasse la compensation soutenable, le temps de casse devient calculable seulement dans le modèle et sous paramètres calibrés.</w:t>
            </w:r>
          </w:p>
        </w:tc>
      </w:tr>
    </w:tbl>
    <w:p>
      <w:pPr>
        <w:pageBreakBefore/>
        <w:spacing w:before="140" w:after="60"/>
      </w:pPr>
      <w:r>
        <w:rPr>
          <w:b/>
          <w:color w:val="2F7DBE"/>
          <w:sz w:val="32"/>
        </w:rPr>
        <w:t>35. Bascule dynamique — la dette érode la capacité de compensation</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RÉSULTAT — Si la dette réduit la capacité du cadre à la compenser, la frontière I=ρ devient un seuil instable. Au-dessous, le cadre récupère ; au-dessus, l’écart érode la capacité de compensation et accélère sa propre croissance dans ce modèle conditionnel.</w:t>
            </w:r>
          </w:p>
        </w:tc>
      </w:tr>
    </w:tbl>
    <w:p>
      <w:pPr>
        <w:spacing w:before="140" w:after="60"/>
      </w:pPr>
      <w:r>
        <w:rPr>
          <w:b/>
          <w:color w:val="2F7DBE"/>
          <w:sz w:val="24"/>
        </w:rPr>
        <w:t>35.1 Hypothèse minimale falsifiable</w:t>
      </w:r>
    </w:p>
    <w:p>
      <w:pPr>
        <w:spacing w:before="40" w:after="40"/>
        <w:jc w:val="center"/>
      </w:pPr>
      <w:r>
        <w:rPr>
          <w:b/>
          <w:color w:val="1F4E79"/>
          <w:sz w:val="21"/>
        </w:rPr>
        <w:t>ρ(D) = max(0, ρ₀ − αD), avec α ≥ 0</w:t>
      </w:r>
    </w:p>
    <w:p>
      <w:pPr>
        <w:spacing w:before="40" w:after="40"/>
        <w:jc w:val="center"/>
      </w:pPr>
      <w:r>
        <w:rPr>
          <w:b/>
          <w:color w:val="1F4E79"/>
          <w:sz w:val="21"/>
        </w:rPr>
        <w:t>dD/dt = I − ρ₀ + αD</w:t>
      </w:r>
    </w:p>
    <w:p>
      <w:pPr>
        <w:pStyle w:val="ListBullet"/>
        <w:spacing w:after="20"/>
      </w:pPr>
      <w:r>
        <w:rPr>
          <w:sz w:val="18"/>
        </w:rPr>
        <w:t>ρ₀ : capacité de compensation du cadre sans dette préalable.</w:t>
      </w:r>
    </w:p>
    <w:p>
      <w:pPr>
        <w:pStyle w:val="ListBullet"/>
        <w:spacing w:after="20"/>
      </w:pPr>
      <w:r>
        <w:rPr>
          <w:sz w:val="18"/>
        </w:rPr>
        <w:t>α : perte de capacité par unité de dette ; α=0 retrouve le modèle à capacité constante.</w:t>
      </w:r>
    </w:p>
    <w:p>
      <w:pPr>
        <w:pStyle w:val="ListBullet"/>
        <w:spacing w:after="20"/>
      </w:pPr>
      <w:r>
        <w:rPr>
          <w:sz w:val="18"/>
        </w:rPr>
        <w:t>Cette loi linéaire est un modèle testable, pas une loi universelle ; si les mesures l’invalident, remplacer ρ(D) sans modifier le protocole multicadre.</w:t>
      </w:r>
    </w:p>
    <w:p>
      <w:pPr>
        <w:spacing w:before="140" w:after="60"/>
      </w:pPr>
      <w:r>
        <w:rPr>
          <w:b/>
          <w:color w:val="2F7DBE"/>
          <w:sz w:val="24"/>
        </w:rPr>
        <w:t>35.2 Seuil et marge instantanée</w:t>
      </w:r>
    </w:p>
    <w:p>
      <w:pPr>
        <w:spacing w:before="40" w:after="40"/>
        <w:jc w:val="center"/>
      </w:pPr>
      <w:r>
        <w:rPr>
          <w:b/>
          <w:color w:val="1F4E79"/>
          <w:sz w:val="21"/>
        </w:rPr>
        <w:t>D* = (ρ₀ − I)/α ;   M = ρ(D₀) − I = α(D* − D₀)</w:t>
      </w:r>
    </w:p>
    <w:p>
      <w:pPr>
        <w:pStyle w:val="ListBullet"/>
        <w:spacing w:after="20"/>
      </w:pPr>
      <w:r>
        <w:rPr>
          <w:sz w:val="18"/>
        </w:rPr>
        <w:t>M&gt;0 ou D₀&lt;D* : compensation supérieure à l’injection ; récupération.</w:t>
      </w:r>
    </w:p>
    <w:p>
      <w:pPr>
        <w:pStyle w:val="ListBullet"/>
        <w:spacing w:after="20"/>
      </w:pPr>
      <w:r>
        <w:rPr>
          <w:sz w:val="18"/>
        </w:rPr>
        <w:t>M=0 ou D₀=D* : équilibre instable ; la moindre variation décide du côté de la bascule.</w:t>
      </w:r>
    </w:p>
    <w:p>
      <w:pPr>
        <w:pStyle w:val="ListBullet"/>
        <w:spacing w:after="20"/>
      </w:pPr>
      <w:r>
        <w:rPr>
          <w:sz w:val="18"/>
        </w:rPr>
        <w:t>M&lt;0 ou D₀&gt;D* : surcharge auto-amplifiée ; trajectoire vers la casse si aucune capacité nouvelle n’apparaît.</w:t>
      </w:r>
    </w:p>
    <w:p>
      <w:pPr>
        <w:pStyle w:val="ListBullet"/>
        <w:spacing w:after="20"/>
      </w:pPr>
      <w:r>
        <w:t>Si I≥ρ₀, alors D*≤0 : aucun écart positif ne peut être résorbé fonctionnellement par ce cadre dans ce modèle.</w:t>
      </w:r>
    </w:p>
    <w:p>
      <w:pPr>
        <w:spacing w:before="140" w:after="60"/>
      </w:pPr>
      <w:r>
        <w:rPr>
          <w:b/>
          <w:color w:val="2F7DBE"/>
          <w:sz w:val="24"/>
        </w:rPr>
        <w:t>35.3 Temps exacts sous paramètres constants</w:t>
      </w:r>
    </w:p>
    <w:p>
      <w:pPr>
        <w:spacing w:before="40" w:after="40"/>
        <w:jc w:val="center"/>
      </w:pPr>
      <w:r>
        <w:t>τ_résorp = (1/α) ln[D*/(D*−D₀)] si 0&lt;D₀&lt;D*</w:t>
      </w:r>
    </w:p>
    <w:p>
      <w:pPr>
        <w:spacing w:before="40" w:after="40"/>
        <w:jc w:val="center"/>
      </w:pPr>
      <w:r>
        <w:rPr>
          <w:b/>
          <w:color w:val="1F4E79"/>
          <w:sz w:val="21"/>
        </w:rPr>
        <w:t>τ_casse = (1/α) ln[(B−D*)/(D₀−D*)] si D*&lt;D₀&lt;B</w:t>
      </w:r>
    </w:p>
    <w:p>
      <w:pPr>
        <w:pStyle w:val="ListBullet"/>
        <w:spacing w:after="20"/>
      </w:pPr>
      <w:r>
        <w:rPr>
          <w:sz w:val="18"/>
        </w:rPr>
        <w:t>La dette est bornée à zéro après résorption fonctionnelle ; elle ne devient jamais négative.</w:t>
      </w:r>
    </w:p>
    <w:p>
      <w:pPr>
        <w:pStyle w:val="ListBullet"/>
        <w:spacing w:after="20"/>
      </w:pPr>
      <w:r>
        <w:rPr>
          <w:sz w:val="18"/>
        </w:rPr>
        <w:t>Toute borne B, tout α et toute référence ρ₀ doivent être calibrés dans le cadre concerné.</w:t>
      </w:r>
    </w:p>
    <w:p>
      <w:pPr>
        <w:spacing w:before="140" w:after="60"/>
      </w:pPr>
      <w:r>
        <w:rPr>
          <w:b/>
          <w:color w:val="2F7DBE"/>
          <w:sz w:val="24"/>
        </w:rPr>
        <w:t>35.4 Calcul de contrôle</w:t>
      </w:r>
    </w:p>
    <w:p>
      <w:pPr>
        <w:pStyle w:val="ListBullet"/>
        <w:spacing w:after="20"/>
      </w:pPr>
      <w:r>
        <w:rPr>
          <w:sz w:val="18"/>
        </w:rPr>
        <w:t>ρ₀=4, I=1 et α=0,1 donnent D*=30.</w:t>
      </w:r>
    </w:p>
    <w:p>
      <w:pPr>
        <w:pStyle w:val="ListBullet"/>
        <w:spacing w:after="20"/>
      </w:pPr>
      <w:r>
        <w:rPr>
          <w:sz w:val="18"/>
        </w:rPr>
        <w:t>D₀=20 : M=+1 ; résorption fonctionnelle en 10 ln(3)=10,99 unités de temps.</w:t>
      </w:r>
    </w:p>
    <w:p>
      <w:pPr>
        <w:pStyle w:val="ListBullet"/>
        <w:spacing w:after="20"/>
      </w:pPr>
      <w:r>
        <w:rPr>
          <w:sz w:val="18"/>
        </w:rPr>
        <w:t>D₀=30 : M=0 ; équilibre instable.</w:t>
      </w:r>
    </w:p>
    <w:p>
      <w:pPr>
        <w:pStyle w:val="ListBullet"/>
        <w:spacing w:after="20"/>
      </w:pPr>
      <w:r>
        <w:rPr>
          <w:sz w:val="18"/>
        </w:rPr>
        <w:t>D₀=35 et borne B=50 : M=−0,5 ; casse en 10 ln(4)=13,86 unités de temps.</w:t>
      </w:r>
    </w:p>
    <w:p>
      <w:pPr>
        <w:spacing w:before="140" w:after="60"/>
      </w:pPr>
      <w:r>
        <w:rPr>
          <w:b/>
          <w:color w:val="2F7DBE"/>
          <w:sz w:val="24"/>
        </w:rPr>
        <w:t>35.5 Signal précoce</w:t>
      </w:r>
    </w:p>
    <w:p>
      <w:pPr>
        <w:pStyle w:val="ListBullet"/>
        <w:spacing w:after="20"/>
      </w:pPr>
      <w:r>
        <w:t>Quand D₀ approche D* par-dessous, τ_résorp augmente fortement : le cadre met de plus en plus longtemps à compenser un écart comparable.</w:t>
      </w:r>
    </w:p>
    <w:p>
      <w:pPr>
        <w:pStyle w:val="ListBullet"/>
        <w:spacing w:after="20"/>
      </w:pPr>
      <w:r>
        <w:rPr>
          <w:sz w:val="18"/>
        </w:rPr>
        <w:t>À injection I et perturbation initiale comparables ou mesurées, cet allongement devient un proxy de la baisse de marge M ; sinon sa cause reste non identifiable.</w:t>
      </w:r>
    </w:p>
    <w:p>
      <w:pPr>
        <w:pStyle w:val="ListBullet"/>
        <w:spacing w:after="20"/>
      </w:pPr>
      <w:r>
        <w:rPr>
          <w:sz w:val="18"/>
        </w:rPr>
        <w:t>Comparer uniquement des perturbations et cadres équivalents ; sinon l’allongement peut venir d’une injection I différente.</w:t>
      </w:r>
    </w:p>
    <w:p>
      <w:pPr>
        <w:spacing w:before="140" w:after="60"/>
      </w:pPr>
      <w:r>
        <w:rPr>
          <w:b/>
          <w:color w:val="2F7DBE"/>
          <w:sz w:val="24"/>
        </w:rPr>
        <w:t>35.6 Calcul multicadre de cet énoncé</w:t>
      </w:r>
    </w:p>
    <w:p>
      <w:pPr>
        <w:pStyle w:val="ListBullet"/>
        <w:spacing w:after="20"/>
      </w:pPr>
      <w:r>
        <w:rPr>
          <w:sz w:val="18"/>
        </w:rPr>
        <w:t>Cadre local : PASS mathématique conditionnel à la forme ρ(D) choisie.</w:t>
      </w:r>
    </w:p>
    <w:p>
      <w:pPr>
        <w:pStyle w:val="ListBullet"/>
        <w:spacing w:after="20"/>
      </w:pPr>
      <w:r>
        <w:t>Cadre relationnel : PASS conditionnel ; I agrège les écarts causaux induits par les voisins et α décrit l’érosion du cadre affecté.</w:t>
      </w:r>
    </w:p>
    <w:p>
      <w:pPr>
        <w:pStyle w:val="ListBullet"/>
        <w:spacing w:after="20"/>
      </w:pPr>
      <w:r>
        <w:t>Cadres supérieurs : NON_MESURÉ sans mesure de l’érosion et des transformations de capacité.</w:t>
      </w:r>
    </w:p>
    <w:p>
      <w:pPr>
        <w:pStyle w:val="ListBullet"/>
        <w:spacing w:after="20"/>
      </w:pPr>
      <w:r>
        <w:rPr>
          <w:sz w:val="18"/>
        </w:rPr>
        <w:t>Cadre planétaire : NON_MESURÉ.</w:t>
      </w:r>
    </w:p>
    <w:tbl>
      <w:tblPr>
        <w:tblW w:type="auto" w:w="0"/>
        <w:tblLook w:firstColumn="1" w:firstRow="1" w:lastColumn="0" w:lastRow="0" w:noHBand="0" w:noVBand="1" w:val="04A0"/>
      </w:tblPr>
      <w:tblGrid>
        <w:gridCol w:w="10368"/>
      </w:tblGrid>
      <w:tr>
        <w:tc>
          <w:tcPr>
            <w:tcW w:type="dxa" w:w="10368"/>
            <w:shd w:fill="F4CCCC"/>
          </w:tcPr>
          <w:p>
            <w:pPr>
              <w:spacing w:after="0"/>
            </w:pPr>
            <w:r>
              <w:rPr>
                <w:b/>
                <w:color w:val="C62828"/>
                <w:sz w:val="19"/>
              </w:rPr>
              <w:t>ÉVIDENCE — Le ralentissement de la résorption n’est pas seulement un délai : à perturbation équivalente, il peut signaler que la capacité de compensation s’effondre et que le cadre approche de son seuil de bascule.</w:t>
            </w:r>
          </w:p>
        </w:tc>
      </w:tr>
    </w:tbl>
    <w:p>
      <w:pPr>
        <w:pageBreakBefore/>
        <w:spacing w:before="140" w:after="60"/>
      </w:pPr>
      <w:r>
        <w:rPr>
          <w:b/>
          <w:color w:val="2F7DBE"/>
          <w:sz w:val="32"/>
        </w:rPr>
        <w:t>36</w:t>
      </w:r>
      <w:r>
        <w:rPr>
          <w:b/>
          <w:color w:val="2F7DBE"/>
          <w:sz w:val="32"/>
        </w:rPr>
        <w:t xml:space="preserve"> — Borne d’identifiabilité — la dette seule ne sépare pas injection et compensation</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9"/>
              </w:rPr>
              <w:t>RÉSULTAT — La trajectoire D(t) ne détermine que le flux net I−ρ. Elle ne permet pas d’attribuer sa variation à l’injection des objets voisins ou à la capacité de compensation du cadre. Un proxy indépendant ou une perturbation contrôlée est mathématiquement nécessaire.</w:t>
            </w:r>
          </w:p>
        </w:tc>
      </w:tr>
    </w:tbl>
    <w:p>
      <w:pPr>
        <w:spacing w:before="140" w:after="60"/>
      </w:pPr>
      <w:r>
        <w:rPr>
          <w:b/>
          <w:color w:val="2F7DBE"/>
          <w:sz w:val="24"/>
        </w:rPr>
        <w:t>36.1 Preuve d’impossibilité</w:t>
      </w:r>
    </w:p>
    <w:p>
      <w:pPr>
        <w:spacing w:before="40" w:after="40"/>
        <w:jc w:val="center"/>
      </w:pPr>
      <w:r>
        <w:rPr>
          <w:b/>
          <w:color w:val="1F4E79"/>
          <w:sz w:val="21"/>
        </w:rPr>
        <w:t>dD/dt = I − ρ</w:t>
      </w:r>
    </w:p>
    <w:p>
      <w:pPr>
        <w:spacing w:before="40" w:after="40"/>
        <w:jc w:val="center"/>
      </w:pPr>
      <w:r>
        <w:rPr>
          <w:b/>
          <w:color w:val="1F4E79"/>
          <w:sz w:val="21"/>
        </w:rPr>
        <w:t>I′ = I + q(t) et ρ′ = ρ + q(t)  ⇒  I′ − ρ′ = I − ρ</w:t>
      </w:r>
    </w:p>
    <w:p>
      <w:pPr>
        <w:pStyle w:val="ListBullet"/>
        <w:spacing w:after="20"/>
      </w:pPr>
      <w:r>
        <w:rPr>
          <w:sz w:val="18"/>
        </w:rPr>
        <w:t>Pour toute fonction q(t), une autre paire causale produit exactement la même trajectoire observée de dette.</w:t>
      </w:r>
    </w:p>
    <w:p>
      <w:pPr>
        <w:pStyle w:val="ListBullet"/>
        <w:spacing w:after="20"/>
      </w:pPr>
      <w:r>
        <w:rPr>
          <w:sz w:val="18"/>
        </w:rPr>
        <w:t>D(t) seule admet donc une infinité de décompositions entre injection et compensation.</w:t>
      </w:r>
    </w:p>
    <w:p>
      <w:pPr>
        <w:pStyle w:val="ListBullet"/>
        <w:spacing w:after="20"/>
      </w:pPr>
      <w:r>
        <w:rPr>
          <w:sz w:val="18"/>
        </w:rPr>
        <w:t>Le mécanisme causal et ses futurs de rupture restent indéterminés même si le passé net est parfaitement mesuré.</w:t>
      </w:r>
    </w:p>
    <w:p>
      <w:pPr>
        <w:spacing w:before="140" w:after="60"/>
      </w:pPr>
      <w:r>
        <w:rPr>
          <w:b/>
          <w:color w:val="2F7DBE"/>
          <w:sz w:val="24"/>
        </w:rPr>
        <w:t>36.2 Contre-exemple numérique minimal</w:t>
      </w:r>
    </w:p>
    <w:p>
      <w:pPr>
        <w:pStyle w:val="ListBullet"/>
        <w:spacing w:after="20"/>
      </w:pPr>
      <w:r>
        <w:rPr>
          <w:sz w:val="18"/>
        </w:rPr>
        <w:t>Une croissance observée dD/dt=+1 est compatible avec I=3 et ρ=2.</w:t>
      </w:r>
    </w:p>
    <w:p>
      <w:pPr>
        <w:pStyle w:val="ListBullet"/>
        <w:spacing w:after="20"/>
      </w:pPr>
      <w:r>
        <w:rPr>
          <w:sz w:val="18"/>
        </w:rPr>
        <w:t>Elle est aussi compatible avec I=101 et ρ=100, ou avec I=1 et ρ=0.</w:t>
      </w:r>
    </w:p>
    <w:p>
      <w:pPr>
        <w:pStyle w:val="ListBullet"/>
        <w:spacing w:after="20"/>
      </w:pPr>
      <w:r>
        <w:rPr>
          <w:sz w:val="18"/>
        </w:rPr>
        <w:t>Le flux net est identique, mais les réserves, la sensibilité aux voisins et le risque de bascule sont radicalement différents.</w:t>
      </w:r>
    </w:p>
    <w:p>
      <w:pPr>
        <w:spacing w:before="140" w:after="60"/>
      </w:pPr>
      <w:r>
        <w:rPr>
          <w:b/>
          <w:color w:val="2F7DBE"/>
          <w:sz w:val="24"/>
        </w:rPr>
        <w:t>36.3 Instrumentation minimale</w:t>
      </w:r>
    </w:p>
    <w:p>
      <w:pPr>
        <w:spacing w:before="40" w:after="40"/>
        <w:jc w:val="center"/>
      </w:pPr>
      <w:r>
        <w:rPr>
          <w:b/>
          <w:color w:val="1F4E79"/>
          <w:sz w:val="21"/>
        </w:rPr>
        <w:t>I mesuré  ⇒  ρ̂ = I − dD/dt</w:t>
      </w:r>
    </w:p>
    <w:p>
      <w:pPr>
        <w:spacing w:before="40" w:after="40"/>
        <w:jc w:val="center"/>
      </w:pPr>
      <w:r>
        <w:rPr>
          <w:b/>
          <w:color w:val="1F4E79"/>
          <w:sz w:val="21"/>
        </w:rPr>
        <w:t>ρ mesuré  ⇒  Î = dD/dt + ρ</w:t>
      </w:r>
    </w:p>
    <w:p>
      <w:pPr>
        <w:pStyle w:val="ListBullet"/>
        <w:spacing w:after="20"/>
      </w:pPr>
      <w:r>
        <w:rPr>
          <w:sz w:val="18"/>
        </w:rPr>
        <w:t>Alternative : appliquer une perturbation contrôlée dont I est connu, ou rendre I temporairement nul, puis observer la résorption.</w:t>
      </w:r>
    </w:p>
    <w:p>
      <w:pPr>
        <w:pStyle w:val="ListBullet"/>
        <w:spacing w:after="20"/>
      </w:pPr>
      <w:r>
        <w:rPr>
          <w:sz w:val="18"/>
        </w:rPr>
        <w:t>Les proxys d’injection doivent couvrir les objets voisins et leurs interactions causales dans le premier cadre englobant.</w:t>
      </w:r>
    </w:p>
    <w:p>
      <w:pPr>
        <w:pStyle w:val="ListBullet"/>
        <w:spacing w:after="20"/>
      </w:pPr>
      <w:r>
        <w:rPr>
          <w:sz w:val="18"/>
        </w:rPr>
        <w:t>La dérivation de D amplifie le bruit σ : fenêtre, lissage, résolution et incertitude doivent être préenregistrés et propagés.</w:t>
      </w:r>
    </w:p>
    <w:p>
      <w:pPr>
        <w:spacing w:before="140" w:after="60"/>
      </w:pPr>
      <w:r>
        <w:rPr>
          <w:b/>
          <w:color w:val="2F7DBE"/>
          <w:sz w:val="24"/>
        </w:rPr>
        <w:t>36.4 Estimation conditionnelle de l’érosion</w:t>
      </w:r>
    </w:p>
    <w:p>
      <w:pPr>
        <w:spacing w:before="40" w:after="40"/>
        <w:jc w:val="center"/>
      </w:pPr>
      <w:r>
        <w:rPr>
          <w:b/>
          <w:color w:val="1F4E79"/>
          <w:sz w:val="21"/>
        </w:rPr>
        <w:t>Après mesure indépendante de I :  ρ̂(t) = I(t) − dD/dt</w:t>
      </w:r>
    </w:p>
    <w:p>
      <w:pPr>
        <w:spacing w:before="40" w:after="40"/>
        <w:jc w:val="center"/>
      </w:pPr>
      <w:r>
        <w:rPr>
          <w:b/>
          <w:color w:val="1F4E79"/>
          <w:sz w:val="21"/>
        </w:rPr>
        <w:t>Ajuster ensuite ρ̂ = ρ₀ − αD</w:t>
      </w:r>
    </w:p>
    <w:p>
      <w:pPr>
        <w:pStyle w:val="ListBullet"/>
        <w:spacing w:after="20"/>
      </w:pPr>
      <w:r>
        <w:rPr>
          <w:sz w:val="18"/>
        </w:rPr>
        <w:t>Exemple illustratif : (D=10, ρ=3) et (D=20, ρ=2) donnent α=(3−2)/(20−10)=0,1 et ρ₀=4.</w:t>
      </w:r>
    </w:p>
    <w:p>
      <w:pPr>
        <w:pStyle w:val="ListBullet"/>
        <w:spacing w:after="20"/>
      </w:pPr>
      <w:r>
        <w:rPr>
          <w:sz w:val="18"/>
        </w:rPr>
        <w:t>Si I=1 est mesuré, le modèle prévoit D*=(ρ₀−I)/α=30.</w:t>
      </w:r>
    </w:p>
    <w:p>
      <w:pPr>
        <w:pStyle w:val="ListBullet"/>
        <w:spacing w:after="20"/>
      </w:pPr>
      <w:r>
        <w:rPr>
          <w:sz w:val="18"/>
        </w:rPr>
        <w:t>Cette estimation exige répétitions, intervalles d’incertitude et test d’une forme non linéaire concurrente avant toute promotion.</w:t>
      </w:r>
    </w:p>
    <w:p>
      <w:pPr>
        <w:spacing w:before="140" w:after="60"/>
      </w:pPr>
      <w:r>
        <w:rPr>
          <w:b/>
          <w:color w:val="2F7DBE"/>
          <w:sz w:val="24"/>
        </w:rPr>
        <w:t>36.5 Calcul multicadre obligatoire</w:t>
      </w:r>
    </w:p>
    <w:p>
      <w:pPr>
        <w:pStyle w:val="ListBullet"/>
        <w:spacing w:after="20"/>
      </w:pPr>
      <w:r>
        <w:rPr>
          <w:sz w:val="18"/>
        </w:rPr>
        <w:t>Cadre local : PASS formel — D seule identifie I−ρ, jamais I et ρ séparément.</w:t>
      </w:r>
    </w:p>
    <w:p>
      <w:pPr>
        <w:pStyle w:val="ListBullet"/>
        <w:spacing w:after="20"/>
      </w:pPr>
      <w:r>
        <w:rPr>
          <w:sz w:val="18"/>
        </w:rPr>
        <w:t>Cadre relationnel englobant : PASS — il impose des proxys indépendants des injections voisines ou de la compensation reçue.</w:t>
      </w:r>
    </w:p>
    <w:p>
      <w:pPr>
        <w:pStyle w:val="ListBullet"/>
        <w:spacing w:after="20"/>
      </w:pPr>
      <w:r>
        <w:rPr>
          <w:sz w:val="18"/>
        </w:rPr>
        <w:t>Cadres supérieurs : PASS comme borne algébrique ; mécanismes et paramètres propres à chaque cadre = NON_MESURÉ sans instrumentation dédiée.</w:t>
      </w:r>
    </w:p>
    <w:p>
      <w:pPr>
        <w:pStyle w:val="ListBullet"/>
        <w:spacing w:after="20"/>
      </w:pPr>
      <w:r>
        <w:rPr>
          <w:sz w:val="18"/>
        </w:rPr>
        <w:t>Cadre planétaire : NON_MESURÉ.</w:t>
      </w:r>
    </w:p>
    <w:p>
      <w:pPr>
        <w:spacing w:before="40" w:after="40"/>
        <w:jc w:val="center"/>
      </w:pPr>
      <w:r>
        <w:rPr>
          <w:b/>
          <w:color w:val="1F4E79"/>
          <w:sz w:val="21"/>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9"/>
              </w:rPr>
              <w:t>BORNE — Sans mesure indépendante de l’un des deux flux, toute affirmation « l’injection augmente » ou « la capacité s’effondre » est causalement non identifiable et doit rester NON_MESURÉE.</w:t>
            </w:r>
          </w:p>
        </w:tc>
      </w:tr>
    </w:tbl>
    <w:p>
      <w:pPr>
        <w:pageBreakBefore/>
        <w:spacing w:before="140" w:after="60"/>
      </w:pPr>
      <w:r>
        <w:rPr>
          <w:b/>
          <w:color w:val="2F7DBE"/>
          <w:sz w:val="32"/>
        </w:rPr>
        <w:t>37</w:t>
      </w:r>
      <w:r>
        <w:rPr>
          <w:b/>
          <w:color w:val="2F7DBE"/>
          <w:sz w:val="32"/>
        </w:rPr>
        <w:t xml:space="preserve"> — Priorité aux objets simples — protocole sans calcul</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9"/>
              </w:rPr>
              <w:t>PRIORITÉ OPÉRATIONNELLE — Avant toute équation, prendre un objet ordinaire, constater ce qui tient et ce qui cesse de tenir, puis seulement ouvrir le premier cadre relationnel. Un calcul supérieur n’est autorisé que si un effet causal franchit cette borne.</w:t>
            </w:r>
          </w:p>
        </w:tc>
      </w:tr>
    </w:tbl>
    <w:p>
      <w:pPr>
        <w:spacing w:before="140" w:after="60"/>
      </w:pPr>
      <w:r>
        <w:rPr>
          <w:b/>
          <w:color w:val="2F7DBE"/>
          <w:sz w:val="24"/>
        </w:rPr>
        <w:t>37.1 Première distinction intuitive</w:t>
      </w:r>
    </w:p>
    <w:p>
      <w:pPr>
        <w:pStyle w:val="ListBullet"/>
        <w:spacing w:after="20"/>
      </w:pPr>
      <w:r>
        <w:rPr>
          <w:sz w:val="18"/>
        </w:rPr>
        <w:t>Borne d’existence : l’objet reste-t-il le même objet ?</w:t>
      </w:r>
    </w:p>
    <w:p>
      <w:pPr>
        <w:pStyle w:val="ListBullet"/>
        <w:spacing w:after="20"/>
      </w:pPr>
      <w:r>
        <w:rPr>
          <w:sz w:val="18"/>
        </w:rPr>
        <w:t>Borne de fonction : peut-il encore produire l’effet minimal attendu ?</w:t>
      </w:r>
    </w:p>
    <w:p>
      <w:pPr>
        <w:pStyle w:val="ListBullet"/>
        <w:spacing w:after="20"/>
      </w:pPr>
      <w:r>
        <w:rPr>
          <w:sz w:val="18"/>
        </w:rPr>
        <w:t>Borne relationnelle : que fait-il réellement avec ses voisins immédiats ?</w:t>
      </w:r>
    </w:p>
    <w:p>
      <w:pPr>
        <w:pStyle w:val="ListBullet"/>
        <w:spacing w:after="20"/>
      </w:pPr>
      <w:r>
        <w:rPr>
          <w:sz w:val="18"/>
        </w:rPr>
        <w:t>Un objet peut rester intact localement et échouer fonctionnellement ou relationnellement. Ces trois cohérences ne doivent jamais être confondues.</w:t>
      </w:r>
    </w:p>
    <w:p>
      <w:pPr>
        <w:spacing w:before="140" w:after="60"/>
      </w:pPr>
      <w:r>
        <w:rPr>
          <w:b/>
          <w:color w:val="2F7DBE"/>
          <w:sz w:val="24"/>
        </w:rPr>
        <w:t>37.2 Six objets très différents — porte avant le cas supérieur</w:t>
      </w:r>
    </w:p>
    <w:tbl>
      <w:tblPr>
        <w:tblStyle w:val="TableGrid"/>
        <w:tblW w:type="auto" w:w="0"/>
        <w:tblLook w:firstColumn="1" w:firstRow="1" w:lastColumn="0" w:lastRow="0" w:noHBand="0" w:noVBand="1" w:val="04A0"/>
      </w:tblPr>
      <w:tblGrid>
        <w:gridCol w:w="2592"/>
        <w:gridCol w:w="2592"/>
        <w:gridCol w:w="2592"/>
        <w:gridCol w:w="2592"/>
      </w:tblGrid>
      <w:tr>
        <w:tc>
          <w:tcPr>
            <w:tcW w:type="dxa" w:w="1440"/>
            <w:shd w:fill="D9EAF7"/>
          </w:tcPr>
          <w:p>
            <w:r>
              <w:rPr>
                <w:b/>
                <w:color w:val="1F4E79"/>
                <w:sz w:val="17"/>
              </w:rPr>
              <w:t>Objet</w:t>
            </w:r>
          </w:p>
        </w:tc>
        <w:tc>
          <w:tcPr>
            <w:tcW w:type="dxa" w:w="2520"/>
            <w:shd w:fill="D9EAF7"/>
          </w:tcPr>
          <w:p>
            <w:r>
              <w:rPr>
                <w:b/>
                <w:color w:val="1F4E79"/>
                <w:sz w:val="17"/>
              </w:rPr>
              <w:t>Borne locale</w:t>
            </w:r>
          </w:p>
        </w:tc>
        <w:tc>
          <w:tcPr>
            <w:tcW w:type="dxa" w:w="2520"/>
            <w:shd w:fill="D9EAF7"/>
          </w:tcPr>
          <w:p>
            <w:r>
              <w:rPr>
                <w:b/>
                <w:color w:val="1F4E79"/>
                <w:sz w:val="17"/>
              </w:rPr>
              <w:t>Borne fonctionnelle</w:t>
            </w:r>
          </w:p>
        </w:tc>
        <w:tc>
          <w:tcPr>
            <w:tcW w:type="dxa" w:w="3528"/>
            <w:shd w:fill="D9EAF7"/>
          </w:tcPr>
          <w:p>
            <w:r>
              <w:rPr>
                <w:b/>
                <w:color w:val="1F4E79"/>
                <w:sz w:val="17"/>
              </w:rPr>
              <w:t>Premier cadre relationnel</w:t>
            </w:r>
          </w:p>
        </w:tc>
      </w:tr>
      <w:tr>
        <w:tc>
          <w:tcPr>
            <w:tcW w:type="dxa" w:w="1440"/>
            <w:vAlign w:val="top"/>
          </w:tcPr>
          <w:p>
            <w:r>
              <w:rPr>
                <w:sz w:val="15"/>
              </w:rPr>
              <w:t>Feuille</w:t>
            </w:r>
          </w:p>
        </w:tc>
        <w:tc>
          <w:tcPr>
            <w:tcW w:type="dxa" w:w="2520"/>
            <w:vAlign w:val="top"/>
          </w:tcPr>
          <w:p>
            <w:r>
              <w:rPr>
                <w:sz w:val="15"/>
              </w:rPr>
              <w:t>Surface souple qui peut rester entière ou devenir morceaux.</w:t>
            </w:r>
          </w:p>
        </w:tc>
        <w:tc>
          <w:tcPr>
            <w:tcW w:type="dxa" w:w="2520"/>
            <w:vAlign w:val="top"/>
          </w:tcPr>
          <w:p>
            <w:r>
              <w:rPr>
                <w:sz w:val="15"/>
              </w:rPr>
              <w:t>Écrire, plier ou couvrir.</w:t>
            </w:r>
          </w:p>
        </w:tc>
        <w:tc>
          <w:tcPr>
            <w:tcW w:type="dxa" w:w="3528"/>
            <w:vAlign w:val="top"/>
          </w:tcPr>
          <w:p>
            <w:r>
              <w:rPr>
                <w:sz w:val="15"/>
              </w:rPr>
              <w:t>Main, support, eau ou vent : pli, déchirure, déplacement.</w:t>
            </w:r>
          </w:p>
        </w:tc>
      </w:tr>
      <w:tr>
        <w:tc>
          <w:tcPr>
            <w:tcW w:type="dxa" w:w="1440"/>
            <w:vAlign w:val="top"/>
          </w:tcPr>
          <w:p>
            <w:r>
              <w:rPr>
                <w:sz w:val="15"/>
              </w:rPr>
              <w:t>Bille</w:t>
            </w:r>
          </w:p>
        </w:tc>
        <w:tc>
          <w:tcPr>
            <w:tcW w:type="dxa" w:w="2520"/>
            <w:vAlign w:val="top"/>
          </w:tcPr>
          <w:p>
            <w:r>
              <w:rPr>
                <w:sz w:val="15"/>
              </w:rPr>
              <w:t>Solide mobile conservant cohésion et rondeur.</w:t>
            </w:r>
          </w:p>
        </w:tc>
        <w:tc>
          <w:tcPr>
            <w:tcW w:type="dxa" w:w="2520"/>
            <w:vAlign w:val="top"/>
          </w:tcPr>
          <w:p>
            <w:r>
              <w:rPr>
                <w:sz w:val="15"/>
              </w:rPr>
              <w:t>Rouler ou transmettre un choc.</w:t>
            </w:r>
          </w:p>
        </w:tc>
        <w:tc>
          <w:tcPr>
            <w:tcW w:type="dxa" w:w="3528"/>
            <w:vAlign w:val="top"/>
          </w:tcPr>
          <w:p>
            <w:r>
              <w:rPr>
                <w:sz w:val="15"/>
              </w:rPr>
              <w:t>Plan, pente, frottement, obstacle : arrêt ou déviation.</w:t>
            </w:r>
          </w:p>
        </w:tc>
      </w:tr>
      <w:tr>
        <w:tc>
          <w:tcPr>
            <w:tcW w:type="dxa" w:w="1440"/>
            <w:vAlign w:val="top"/>
          </w:tcPr>
          <w:p>
            <w:r>
              <w:rPr>
                <w:sz w:val="15"/>
              </w:rPr>
              <w:t>Élastique</w:t>
            </w:r>
          </w:p>
        </w:tc>
        <w:tc>
          <w:tcPr>
            <w:tcW w:type="dxa" w:w="2520"/>
            <w:vAlign w:val="top"/>
          </w:tcPr>
          <w:p>
            <w:r>
              <w:rPr>
                <w:sz w:val="15"/>
              </w:rPr>
              <w:t>Corps déformable restant continu.</w:t>
            </w:r>
          </w:p>
        </w:tc>
        <w:tc>
          <w:tcPr>
            <w:tcW w:type="dxa" w:w="2520"/>
            <w:vAlign w:val="top"/>
          </w:tcPr>
          <w:p>
            <w:r>
              <w:rPr>
                <w:sz w:val="15"/>
              </w:rPr>
              <w:t>S’étirer puis revenir.</w:t>
            </w:r>
          </w:p>
        </w:tc>
        <w:tc>
          <w:tcPr>
            <w:tcW w:type="dxa" w:w="3528"/>
            <w:vAlign w:val="top"/>
          </w:tcPr>
          <w:p>
            <w:r>
              <w:rPr>
                <w:sz w:val="15"/>
              </w:rPr>
              <w:t>Deux points d’appui : retour, allongement persistant ou rupture.</w:t>
            </w:r>
          </w:p>
        </w:tc>
      </w:tr>
      <w:tr>
        <w:tc>
          <w:tcPr>
            <w:tcW w:type="dxa" w:w="2592"/>
            <w:vAlign w:val="top"/>
          </w:tcPr>
          <w:p>
            <w:r>
              <w:rPr>
                <w:sz w:val="15"/>
              </w:rPr>
              <w:t>Verre</w:t>
            </w:r>
          </w:p>
        </w:tc>
        <w:tc>
          <w:tcPr>
            <w:tcW w:type="dxa" w:w="2592"/>
            <w:vAlign w:val="top"/>
          </w:tcPr>
          <w:p>
            <w:r>
              <w:rPr>
                <w:sz w:val="15"/>
              </w:rPr>
              <w:t>Volume creux intact, mais fragile.</w:t>
            </w:r>
          </w:p>
        </w:tc>
        <w:tc>
          <w:tcPr>
            <w:tcW w:type="dxa" w:w="2592"/>
            <w:vAlign w:val="top"/>
          </w:tcPr>
          <w:p>
            <w:r>
              <w:rPr>
                <w:sz w:val="15"/>
              </w:rPr>
              <w:t>Contenir un liquide.</w:t>
            </w:r>
          </w:p>
        </w:tc>
        <w:tc>
          <w:tcPr>
            <w:tcW w:type="dxa" w:w="2592"/>
            <w:vAlign w:val="top"/>
          </w:tcPr>
          <w:p>
            <w:r>
              <w:rPr>
                <w:sz w:val="15"/>
              </w:rPr>
              <w:t>Main, table, eau, gravité : fuite, renversement ou casse.</w:t>
            </w:r>
          </w:p>
        </w:tc>
      </w:tr>
      <w:tr>
        <w:tc>
          <w:tcPr>
            <w:tcW w:type="dxa" w:w="2592"/>
            <w:vAlign w:val="top"/>
          </w:tcPr>
          <w:p>
            <w:r>
              <w:rPr>
                <w:sz w:val="15"/>
              </w:rPr>
              <w:t>Aimant</w:t>
            </w:r>
          </w:p>
        </w:tc>
        <w:tc>
          <w:tcPr>
            <w:tcW w:type="dxa" w:w="2592"/>
            <w:vAlign w:val="top"/>
          </w:tcPr>
          <w:p>
            <w:r>
              <w:rPr>
                <w:sz w:val="15"/>
              </w:rPr>
              <w:t>Objet intact sans contact nécessaire.</w:t>
            </w:r>
          </w:p>
        </w:tc>
        <w:tc>
          <w:tcPr>
            <w:tcW w:type="dxa" w:w="2592"/>
            <w:vAlign w:val="top"/>
          </w:tcPr>
          <w:p>
            <w:r>
              <w:rPr>
                <w:sz w:val="15"/>
              </w:rPr>
              <w:t>Attirer certains matériaux.</w:t>
            </w:r>
          </w:p>
        </w:tc>
        <w:tc>
          <w:tcPr>
            <w:tcW w:type="dxa" w:w="2592"/>
            <w:vAlign w:val="top"/>
          </w:tcPr>
          <w:p>
            <w:r>
              <w:rPr>
                <w:sz w:val="15"/>
              </w:rPr>
              <w:t>Distance, orientation et objet voisin : attraction présente ou absente.</w:t>
            </w:r>
          </w:p>
        </w:tc>
      </w:tr>
      <w:tr>
        <w:tc>
          <w:tcPr>
            <w:tcW w:type="dxa" w:w="2592"/>
            <w:vAlign w:val="top"/>
          </w:tcPr>
          <w:p>
            <w:r>
              <w:rPr>
                <w:sz w:val="15"/>
              </w:rPr>
              <w:t>Tire-bouchon</w:t>
            </w:r>
          </w:p>
        </w:tc>
        <w:tc>
          <w:tcPr>
            <w:tcW w:type="dxa" w:w="2592"/>
            <w:vAlign w:val="top"/>
          </w:tcPr>
          <w:p>
            <w:r>
              <w:rPr>
                <w:sz w:val="15"/>
              </w:rPr>
              <w:t>Assemblage : hélice, axe et prise solidaires.</w:t>
            </w:r>
          </w:p>
        </w:tc>
        <w:tc>
          <w:tcPr>
            <w:tcW w:type="dxa" w:w="2592"/>
            <w:vAlign w:val="top"/>
          </w:tcPr>
          <w:p>
            <w:r>
              <w:rPr>
                <w:sz w:val="15"/>
              </w:rPr>
              <w:t>Extraire un bouchon.</w:t>
            </w:r>
          </w:p>
        </w:tc>
        <w:tc>
          <w:tcPr>
            <w:tcW w:type="dxa" w:w="2592"/>
            <w:vAlign w:val="top"/>
          </w:tcPr>
          <w:p>
            <w:r>
              <w:rPr>
                <w:sz w:val="15"/>
              </w:rPr>
              <w:t>Main–outil–bouchon–bouteille : effort et compensation.</w:t>
            </w:r>
          </w:p>
        </w:tc>
      </w:tr>
    </w:tbl>
    <w:p>
      <w:pPr>
        <w:spacing w:before="140" w:after="60"/>
      </w:pPr>
      <w:r>
        <w:rPr>
          <w:b/>
          <w:color w:val="2F7DBE"/>
          <w:sz w:val="24"/>
        </w:rPr>
        <w:t>37.3 La dette devient visible sans formule</w:t>
      </w:r>
    </w:p>
    <w:p>
      <w:pPr>
        <w:pStyle w:val="ListBullet"/>
        <w:spacing w:after="20"/>
      </w:pPr>
      <w:r>
        <w:rPr>
          <w:sz w:val="18"/>
        </w:rPr>
        <w:t>Feuille pliée : le pli persistant est un résidu local ; si un poids doit la maintenir plane, le voisin compense ce résidu.</w:t>
      </w:r>
    </w:p>
    <w:p>
      <w:pPr>
        <w:pStyle w:val="ListBullet"/>
        <w:spacing w:after="20"/>
      </w:pPr>
      <w:r>
        <w:rPr>
          <w:sz w:val="18"/>
        </w:rPr>
        <w:t>Bille déformée : elle peut encore exister, mais le sol ou la trajectoire reçoit une déviation qu’il faut corriger.</w:t>
      </w:r>
    </w:p>
    <w:p>
      <w:pPr>
        <w:pStyle w:val="ListBullet"/>
        <w:spacing w:after="20"/>
      </w:pPr>
      <w:r>
        <w:rPr>
          <w:sz w:val="18"/>
        </w:rPr>
        <w:t>Tire-bouchon tordu : l’outil existe encore, mais la main, le bouchon ou la bouteille doivent fournir la compensation supplémentaire.</w:t>
      </w:r>
    </w:p>
    <w:p>
      <w:pPr>
        <w:pStyle w:val="ListBullet"/>
        <w:spacing w:after="20"/>
      </w:pPr>
      <w:r>
        <w:rPr>
          <w:sz w:val="18"/>
        </w:rPr>
        <w:t>La dette observable est donc d’abord ce qui ne revient pas seul à un état fonctionnel équivalent et oblige le premier cadre englobant à compenser.</w:t>
      </w:r>
    </w:p>
    <w:p>
      <w:pPr>
        <w:spacing w:before="140" w:after="60"/>
      </w:pPr>
      <w:r>
        <w:rPr>
          <w:b/>
          <w:color w:val="2F7DBE"/>
          <w:sz w:val="24"/>
        </w:rPr>
        <w:t>37.4 Ordre obligatoire de recherche</w:t>
      </w:r>
    </w:p>
    <w:p>
      <w:pPr>
        <w:pStyle w:val="ListBullet"/>
        <w:spacing w:after="20"/>
      </w:pPr>
      <w:r>
        <w:rPr>
          <w:sz w:val="18"/>
        </w:rPr>
        <w:t>1. Tester un premier objet sans variable abstraite.</w:t>
      </w:r>
    </w:p>
    <w:p>
      <w:pPr>
        <w:pStyle w:val="ListBullet"/>
        <w:spacing w:after="20"/>
      </w:pPr>
      <w:r>
        <w:rPr>
          <w:sz w:val="18"/>
        </w:rPr>
        <w:t>2. Passer à un objet de nature très différente, pas à une simple variante.</w:t>
      </w:r>
    </w:p>
    <w:p>
      <w:pPr>
        <w:pStyle w:val="ListBullet"/>
        <w:spacing w:after="20"/>
      </w:pPr>
      <w:r>
        <w:rPr>
          <w:sz w:val="18"/>
        </w:rPr>
        <w:t>3. Répéter jusqu’à six classes simples : feuille, bille, élastique, verre, aimant, tire-bouchon.</w:t>
      </w:r>
    </w:p>
    <w:p>
      <w:pPr>
        <w:pStyle w:val="ListBullet"/>
        <w:spacing w:after="20"/>
      </w:pPr>
      <w:r>
        <w:rPr>
          <w:sz w:val="18"/>
        </w:rPr>
        <w:t>4. Dès qu’un objet invalide l’énoncé : arrêter, corriger ou borner l’énoncé.</w:t>
      </w:r>
    </w:p>
    <w:p>
      <w:pPr>
        <w:pStyle w:val="ListBullet"/>
        <w:spacing w:after="20"/>
      </w:pPr>
      <w:r>
        <w:rPr>
          <w:sz w:val="18"/>
        </w:rPr>
        <w:t>5. Seulement si l’énoncé survit aux six filtres : ouvrir le premier cas supérieur relationnel.</w:t>
      </w:r>
    </w:p>
    <w:p>
      <w:pPr>
        <w:spacing w:before="140" w:after="60"/>
      </w:pPr>
      <w:r>
        <w:rPr>
          <w:b/>
          <w:color w:val="2F7DBE"/>
          <w:sz w:val="24"/>
        </w:rPr>
        <w:t>37.5 Calcul multicadre de la méthode</w:t>
      </w:r>
    </w:p>
    <w:p>
      <w:pPr>
        <w:pStyle w:val="ListBullet"/>
        <w:spacing w:after="20"/>
      </w:pPr>
      <w:r>
        <w:rPr>
          <w:sz w:val="18"/>
        </w:rPr>
        <w:t>Cadre local : PASS — l’existence et la fonction minimale sont directement observables.</w:t>
      </w:r>
    </w:p>
    <w:p>
      <w:pPr>
        <w:pStyle w:val="ListBullet"/>
        <w:spacing w:after="20"/>
      </w:pPr>
      <w:r>
        <w:rPr>
          <w:sz w:val="18"/>
        </w:rPr>
        <w:t>Cadre relationnel englobant : PASS — le premier voisin révèle la compensation ou le transfert.</w:t>
      </w:r>
    </w:p>
    <w:p>
      <w:pPr>
        <w:pStyle w:val="ListBullet"/>
        <w:spacing w:after="20"/>
      </w:pPr>
      <w:r>
        <w:rPr>
          <w:sz w:val="18"/>
        </w:rPr>
        <w:t>Cadres supérieurs : CONDITIONNELS — ouverts uniquement si un résidu causal les atteint.</w:t>
      </w:r>
    </w:p>
    <w:p>
      <w:pPr>
        <w:pStyle w:val="ListBullet"/>
        <w:spacing w:after="20"/>
      </w:pPr>
      <w:r>
        <w:rPr>
          <w:sz w:val="18"/>
        </w:rPr>
        <w:t>Cadre planétaire : NON_MESURÉ et non requis pour ces essais.</w:t>
      </w:r>
    </w:p>
    <w:p>
      <w:pPr>
        <w:jc w:val="center"/>
      </w:pPr>
      <w:r>
        <w:rPr>
          <w:b/>
          <w:color w:val="1F4E79"/>
          <w:sz w:val="21"/>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8"/>
              </w:rPr>
              <w:t>PORTE DES SIX — Un seul échec borne ou rejette l’énoncé. Survivre aux six ne prouve pas l’universalité : cela autorise seulement le premier cas supérieur.</w:t>
            </w:r>
          </w:p>
        </w:tc>
      </w:tr>
    </w:tbl>
    <w:p>
      <w:pPr>
        <w:pageBreakBefore/>
        <w:spacing w:before="140" w:after="60"/>
      </w:pPr>
      <w:r>
        <w:rPr>
          <w:b/>
          <w:color w:val="2F7DBE"/>
          <w:sz w:val="32"/>
        </w:rPr>
        <w:t>38</w:t>
      </w:r>
      <w:r>
        <w:rPr>
          <w:b/>
          <w:color w:val="2F7DBE"/>
          <w:sz w:val="32"/>
        </w:rPr>
        <w:t xml:space="preserve"> — Six filtres puis premier cas supérieur — résultat sans calcul</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RÉSULTAT — La définition testée survit aux six filtres avec une borne nécessaire : la référence fonctionnelle doit être fixée avant l’essai et la compensation doit rester possible. Sans résidu : perturbation. Avec résidu compensable : dette. Sans compensation admissible : rupture.</w:t>
            </w:r>
          </w:p>
        </w:tc>
      </w:tr>
    </w:tbl>
    <w:p>
      <w:pPr>
        <w:spacing w:before="140" w:after="60"/>
      </w:pPr>
      <w:r>
        <w:rPr>
          <w:b/>
          <w:color w:val="2F7DBE"/>
          <w:sz w:val="24"/>
        </w:rPr>
        <w:t>38.1 Passage séquentiel des six filtres</w:t>
      </w:r>
    </w:p>
    <w:tbl>
      <w:tblPr>
        <w:tblStyle w:val="TableGrid"/>
        <w:tblW w:type="auto" w:w="0"/>
        <w:tblLook w:firstColumn="1" w:firstRow="1" w:lastColumn="0" w:lastRow="0" w:noHBand="0" w:noVBand="1" w:val="04A0"/>
      </w:tblPr>
      <w:tblGrid>
        <w:gridCol w:w="2592"/>
        <w:gridCol w:w="2592"/>
        <w:gridCol w:w="2592"/>
        <w:gridCol w:w="2592"/>
      </w:tblGrid>
      <w:tr>
        <w:tc>
          <w:tcPr>
            <w:tcW w:type="dxa" w:w="1296"/>
            <w:shd w:fill="D9EAF7"/>
          </w:tcPr>
          <w:p>
            <w:r>
              <w:rPr>
                <w:b/>
                <w:color w:val="1F4E79"/>
                <w:sz w:val="16"/>
              </w:rPr>
              <w:t>Objet</w:t>
            </w:r>
          </w:p>
        </w:tc>
        <w:tc>
          <w:tcPr>
            <w:tcW w:type="dxa" w:w="2376"/>
            <w:shd w:fill="D9EAF7"/>
          </w:tcPr>
          <w:p>
            <w:r>
              <w:rPr>
                <w:b/>
                <w:color w:val="1F4E79"/>
                <w:sz w:val="16"/>
              </w:rPr>
              <w:t>Essai simple</w:t>
            </w:r>
          </w:p>
        </w:tc>
        <w:tc>
          <w:tcPr>
            <w:tcW w:type="dxa" w:w="3384"/>
            <w:shd w:fill="D9EAF7"/>
          </w:tcPr>
          <w:p>
            <w:r>
              <w:rPr>
                <w:b/>
                <w:color w:val="1F4E79"/>
                <w:sz w:val="16"/>
              </w:rPr>
              <w:t>Après relâchement</w:t>
            </w:r>
          </w:p>
        </w:tc>
        <w:tc>
          <w:tcPr>
            <w:tcW w:type="dxa" w:w="2952"/>
            <w:shd w:fill="D9EAF7"/>
          </w:tcPr>
          <w:p>
            <w:r>
              <w:rPr>
                <w:b/>
                <w:color w:val="1F4E79"/>
                <w:sz w:val="16"/>
              </w:rPr>
              <w:t>Verdict</w:t>
            </w:r>
          </w:p>
        </w:tc>
      </w:tr>
      <w:tr>
        <w:tc>
          <w:tcPr>
            <w:tcW w:type="dxa" w:w="1296"/>
            <w:vAlign w:val="top"/>
          </w:tcPr>
          <w:p>
            <w:r>
              <w:rPr>
                <w:sz w:val="15"/>
              </w:rPr>
              <w:t>Feuille</w:t>
            </w:r>
          </w:p>
        </w:tc>
        <w:tc>
          <w:tcPr>
            <w:tcW w:type="dxa" w:w="2376"/>
            <w:vAlign w:val="top"/>
          </w:tcPr>
          <w:p>
            <w:r>
              <w:rPr>
                <w:sz w:val="15"/>
              </w:rPr>
              <w:t>Faire un pli marqué.</w:t>
            </w:r>
          </w:p>
        </w:tc>
        <w:tc>
          <w:tcPr>
            <w:tcW w:type="dxa" w:w="3384"/>
            <w:vAlign w:val="top"/>
          </w:tcPr>
          <w:p>
            <w:r>
              <w:rPr>
                <w:sz w:val="15"/>
              </w:rPr>
              <w:t>Le pli reste ; un poids ou une main doit restaurer la planéité utile.</w:t>
            </w:r>
          </w:p>
        </w:tc>
        <w:tc>
          <w:tcPr>
            <w:tcW w:type="dxa" w:w="2952"/>
            <w:vAlign w:val="top"/>
          </w:tcPr>
          <w:p>
            <w:r>
              <w:rPr>
                <w:sz w:val="15"/>
              </w:rPr>
              <w:t>PASS : dette géométrique compensable.</w:t>
            </w:r>
          </w:p>
        </w:tc>
      </w:tr>
      <w:tr>
        <w:tc>
          <w:tcPr>
            <w:tcW w:type="dxa" w:w="1296"/>
            <w:vAlign w:val="top"/>
          </w:tcPr>
          <w:p>
            <w:r>
              <w:rPr>
                <w:sz w:val="15"/>
              </w:rPr>
              <w:t>Bille</w:t>
            </w:r>
          </w:p>
        </w:tc>
        <w:tc>
          <w:tcPr>
            <w:tcW w:type="dxa" w:w="2376"/>
            <w:vAlign w:val="top"/>
          </w:tcPr>
          <w:p>
            <w:r>
              <w:rPr>
                <w:sz w:val="15"/>
              </w:rPr>
              <w:t>Créer une légère déformation.</w:t>
            </w:r>
          </w:p>
        </w:tc>
        <w:tc>
          <w:tcPr>
            <w:tcW w:type="dxa" w:w="3384"/>
            <w:vAlign w:val="top"/>
          </w:tcPr>
          <w:p>
            <w:r>
              <w:rPr>
                <w:sz w:val="15"/>
              </w:rPr>
              <w:t>La bille roule encore, mais le plan ou le guidage doit corriger la déviation.</w:t>
            </w:r>
          </w:p>
        </w:tc>
        <w:tc>
          <w:tcPr>
            <w:tcW w:type="dxa" w:w="2952"/>
            <w:vAlign w:val="top"/>
          </w:tcPr>
          <w:p>
            <w:r>
              <w:rPr>
                <w:sz w:val="15"/>
              </w:rPr>
              <w:t>PASS : dette fonctionnelle compensable.</w:t>
            </w:r>
          </w:p>
        </w:tc>
      </w:tr>
      <w:tr>
        <w:tc>
          <w:tcPr>
            <w:tcW w:type="dxa" w:w="1296"/>
            <w:vAlign w:val="top"/>
          </w:tcPr>
          <w:p>
            <w:r>
              <w:rPr>
                <w:sz w:val="15"/>
              </w:rPr>
              <w:t>Élastique</w:t>
            </w:r>
          </w:p>
        </w:tc>
        <w:tc>
          <w:tcPr>
            <w:tcW w:type="dxa" w:w="2376"/>
            <w:vAlign w:val="top"/>
          </w:tcPr>
          <w:p>
            <w:r>
              <w:rPr>
                <w:sz w:val="15"/>
              </w:rPr>
              <w:t>Étirer puis relâcher.</w:t>
            </w:r>
          </w:p>
        </w:tc>
        <w:tc>
          <w:tcPr>
            <w:tcW w:type="dxa" w:w="3384"/>
            <w:vAlign w:val="top"/>
          </w:tcPr>
          <w:p>
            <w:r>
              <w:rPr>
                <w:sz w:val="15"/>
              </w:rPr>
              <w:t>Retour complet : rien à compenser. Allongement permanent : déplacer les appuis.</w:t>
            </w:r>
          </w:p>
        </w:tc>
        <w:tc>
          <w:tcPr>
            <w:tcW w:type="dxa" w:w="2952"/>
            <w:vAlign w:val="top"/>
          </w:tcPr>
          <w:p>
            <w:r>
              <w:rPr>
                <w:sz w:val="15"/>
              </w:rPr>
              <w:t>PASS : frontière perturbation/dette.</w:t>
            </w:r>
          </w:p>
        </w:tc>
      </w:tr>
      <w:tr>
        <w:tc>
          <w:tcPr>
            <w:tcW w:type="dxa" w:w="1296"/>
            <w:vAlign w:val="top"/>
          </w:tcPr>
          <w:p>
            <w:r>
              <w:rPr>
                <w:sz w:val="15"/>
              </w:rPr>
              <w:t>Verre</w:t>
            </w:r>
          </w:p>
        </w:tc>
        <w:tc>
          <w:tcPr>
            <w:tcW w:type="dxa" w:w="2376"/>
            <w:vAlign w:val="top"/>
          </w:tcPr>
          <w:p>
            <w:r>
              <w:rPr>
                <w:sz w:val="15"/>
              </w:rPr>
              <w:t>Ébrécher sans perte immédiate du contenu.</w:t>
            </w:r>
          </w:p>
        </w:tc>
        <w:tc>
          <w:tcPr>
            <w:tcW w:type="dxa" w:w="3384"/>
            <w:vAlign w:val="top"/>
          </w:tcPr>
          <w:p>
            <w:r>
              <w:rPr>
                <w:sz w:val="15"/>
              </w:rPr>
              <w:t>Le verre subsiste ; la prise et l’usage doivent éviter la zone altérée.</w:t>
            </w:r>
          </w:p>
        </w:tc>
        <w:tc>
          <w:tcPr>
            <w:tcW w:type="dxa" w:w="2952"/>
            <w:vAlign w:val="top"/>
          </w:tcPr>
          <w:p>
            <w:r>
              <w:rPr>
                <w:sz w:val="15"/>
              </w:rPr>
              <w:t>PASS, puis rupture si contenir devient impossible.</w:t>
            </w:r>
          </w:p>
        </w:tc>
      </w:tr>
      <w:tr>
        <w:tc>
          <w:tcPr>
            <w:tcW w:type="dxa" w:w="1296"/>
            <w:vAlign w:val="top"/>
          </w:tcPr>
          <w:p>
            <w:r>
              <w:rPr>
                <w:sz w:val="15"/>
              </w:rPr>
              <w:t>Aimant</w:t>
            </w:r>
          </w:p>
        </w:tc>
        <w:tc>
          <w:tcPr>
            <w:tcW w:type="dxa" w:w="2376"/>
            <w:vAlign w:val="top"/>
          </w:tcPr>
          <w:p>
            <w:r>
              <w:rPr>
                <w:sz w:val="15"/>
              </w:rPr>
              <w:t>Le déplacer ou le retourner.</w:t>
            </w:r>
          </w:p>
        </w:tc>
        <w:tc>
          <w:tcPr>
            <w:tcW w:type="dxa" w:w="3384"/>
            <w:vAlign w:val="top"/>
          </w:tcPr>
          <w:p>
            <w:r>
              <w:rPr>
                <w:sz w:val="15"/>
              </w:rPr>
              <w:t>Il reste intact ; le voisin doit rétablir distance et orientation pour retrouver l’effet.</w:t>
            </w:r>
          </w:p>
        </w:tc>
        <w:tc>
          <w:tcPr>
            <w:tcW w:type="dxa" w:w="2952"/>
            <w:vAlign w:val="top"/>
          </w:tcPr>
          <w:p>
            <w:r>
              <w:rPr>
                <w:sz w:val="15"/>
              </w:rPr>
              <w:t>PASS : dette relationnelle, non matérielle.</w:t>
            </w:r>
          </w:p>
        </w:tc>
      </w:tr>
      <w:tr>
        <w:tc>
          <w:tcPr>
            <w:tcW w:type="dxa" w:w="1296"/>
            <w:vAlign w:val="top"/>
          </w:tcPr>
          <w:p>
            <w:r>
              <w:rPr>
                <w:sz w:val="15"/>
              </w:rPr>
              <w:t>Tire-bouchon</w:t>
            </w:r>
          </w:p>
        </w:tc>
        <w:tc>
          <w:tcPr>
            <w:tcW w:type="dxa" w:w="2376"/>
            <w:vAlign w:val="top"/>
          </w:tcPr>
          <w:p>
            <w:r>
              <w:rPr>
                <w:sz w:val="15"/>
              </w:rPr>
              <w:t>Courber légèrement l’axe.</w:t>
            </w:r>
          </w:p>
        </w:tc>
        <w:tc>
          <w:tcPr>
            <w:tcW w:type="dxa" w:w="3384"/>
            <w:vAlign w:val="top"/>
          </w:tcPr>
          <w:p>
            <w:r>
              <w:rPr>
                <w:sz w:val="15"/>
              </w:rPr>
              <w:t>L’extraction reste possible, mais main et bouteille compensent le désaxage.</w:t>
            </w:r>
          </w:p>
        </w:tc>
        <w:tc>
          <w:tcPr>
            <w:tcW w:type="dxa" w:w="2952"/>
            <w:vAlign w:val="top"/>
          </w:tcPr>
          <w:p>
            <w:r>
              <w:rPr>
                <w:sz w:val="15"/>
              </w:rPr>
              <w:t>PASS, puis rupture si extraction impossible.</w:t>
            </w:r>
          </w:p>
        </w:tc>
      </w:tr>
    </w:tbl>
    <w:p>
      <w:pPr>
        <w:spacing w:before="140" w:after="60"/>
      </w:pPr>
      <w:r>
        <w:rPr>
          <w:b/>
          <w:color w:val="2F7DBE"/>
          <w:sz w:val="24"/>
        </w:rPr>
        <w:t>38.2 Borne obtenue</w:t>
      </w:r>
    </w:p>
    <w:p>
      <w:pPr>
        <w:pStyle w:val="ListBullet"/>
        <w:spacing w:after="20"/>
      </w:pPr>
      <w:r>
        <w:rPr>
          <w:sz w:val="18"/>
        </w:rPr>
        <w:t>Référence absente ou fonction non déclarée : dette = NON_MESURÉE.</w:t>
      </w:r>
    </w:p>
    <w:p>
      <w:pPr>
        <w:pStyle w:val="ListBullet"/>
        <w:spacing w:after="20"/>
      </w:pPr>
      <w:r>
        <w:rPr>
          <w:sz w:val="18"/>
        </w:rPr>
        <w:t>Retour autonome à l’état de référence dans la fenêtre fixée : perturbation, pas dette.</w:t>
      </w:r>
    </w:p>
    <w:p>
      <w:pPr>
        <w:pStyle w:val="ListBullet"/>
        <w:spacing w:after="20"/>
      </w:pPr>
      <w:r>
        <w:rPr>
          <w:sz w:val="18"/>
        </w:rPr>
        <w:t>Écart persistant que le premier cadre englobant peut compenser : dette.</w:t>
      </w:r>
    </w:p>
    <w:p>
      <w:pPr>
        <w:pStyle w:val="ListBullet"/>
        <w:spacing w:after="20"/>
      </w:pPr>
      <w:r>
        <w:rPr>
          <w:sz w:val="18"/>
        </w:rPr>
        <w:t>Écart que le cadre englobant ne peut compenser sans violer un invariant, remplacer l’objet ou changer la référence : rupture.</w:t>
      </w:r>
    </w:p>
    <w:p>
      <w:pPr>
        <w:pStyle w:val="ListBullet"/>
        <w:spacing w:after="20"/>
      </w:pPr>
      <w:r>
        <w:rPr>
          <w:sz w:val="18"/>
        </w:rPr>
        <w:t>La dette peut être matérielle, géométrique, fonctionnelle, positionnelle ou relationnelle.</w:t>
      </w:r>
    </w:p>
    <w:p>
      <w:pPr>
        <w:spacing w:before="140" w:after="60"/>
      </w:pPr>
      <w:r>
        <w:rPr>
          <w:b/>
          <w:color w:val="2F7DBE"/>
          <w:sz w:val="24"/>
        </w:rPr>
        <w:t>38.3 Premier cas supérieur : élastique entre deux appuis</w:t>
      </w:r>
    </w:p>
    <w:p>
      <w:pPr>
        <w:pStyle w:val="ListBullet"/>
        <w:spacing w:after="20"/>
      </w:pPr>
      <w:r>
        <w:rPr>
          <w:sz w:val="18"/>
        </w:rPr>
        <w:t>Référence fixée avant l’essai : longueur au repos, position des deux appuis et tension utile.</w:t>
      </w:r>
    </w:p>
    <w:p>
      <w:pPr>
        <w:pStyle w:val="ListBullet"/>
        <w:spacing w:after="20"/>
      </w:pPr>
      <w:r>
        <w:rPr>
          <w:sz w:val="18"/>
        </w:rPr>
        <w:t>Étirement réversible : l’élastique revient seul ; le système retrouve son état équivalent — aucune dette persistante.</w:t>
      </w:r>
    </w:p>
    <w:p>
      <w:pPr>
        <w:pStyle w:val="ListBullet"/>
        <w:spacing w:after="20"/>
      </w:pPr>
      <w:r>
        <w:t>Allongement permanent : les appuis doivent être déplacés pour retrouver la tension — dette propre induite puis compensée dans le cadre supérieur.</w:t>
      </w:r>
    </w:p>
    <w:p>
      <w:pPr>
        <w:pStyle w:val="ListBullet"/>
        <w:spacing w:after="20"/>
      </w:pPr>
      <w:r>
        <w:rPr>
          <w:sz w:val="18"/>
        </w:rPr>
        <w:t>Rupture de l’élastique : déplacer les appuis ne suffit plus ; remplacer l’objet ou redéfinir la fonction — rupture, pas dette supplémentaire.</w:t>
      </w:r>
    </w:p>
    <w:p>
      <w:pPr>
        <w:spacing w:before="140" w:after="60"/>
      </w:pPr>
      <w:r>
        <w:rPr>
          <w:b/>
          <w:color w:val="2F7DBE"/>
          <w:sz w:val="24"/>
        </w:rPr>
        <w:t>38.4 Calcul multicadre obligatoire</w:t>
      </w:r>
    </w:p>
    <w:p>
      <w:pPr>
        <w:pStyle w:val="ListBullet"/>
        <w:spacing w:after="20"/>
      </w:pPr>
      <w:r>
        <w:rPr>
          <w:sz w:val="18"/>
        </w:rPr>
        <w:t>Cadres locaux des six objets : PASS qualitatif, sans généralisation universelle.</w:t>
      </w:r>
    </w:p>
    <w:p>
      <w:pPr>
        <w:pStyle w:val="ListBullet"/>
        <w:spacing w:after="20"/>
      </w:pPr>
      <w:r>
        <w:rPr>
          <w:sz w:val="18"/>
        </w:rPr>
        <w:t>Premier cadre relationnel élastique–appuis : PASS qualitatif pour distinguer perturbation, dette et rupture.</w:t>
      </w:r>
    </w:p>
    <w:p>
      <w:pPr>
        <w:pStyle w:val="ListBullet"/>
        <w:spacing w:after="20"/>
      </w:pPr>
      <w:r>
        <w:rPr>
          <w:sz w:val="18"/>
        </w:rPr>
        <w:t>Cadre supérieur suivant : NON_MESURÉ ; il exige cinq ou six systèmes relationnels simples de natures différentes.</w:t>
      </w:r>
    </w:p>
    <w:p>
      <w:pPr>
        <w:pStyle w:val="ListBullet"/>
        <w:spacing w:after="20"/>
      </w:pPr>
      <w:r>
        <w:rPr>
          <w:sz w:val="18"/>
        </w:rPr>
        <w:t>Cadre planétaire : NON_MESURÉ.</w:t>
      </w:r>
    </w:p>
    <w:p>
      <w:pPr>
        <w:jc w:val="center"/>
      </w:pPr>
      <w:r>
        <w:rPr>
          <w:b/>
          <w:color w:val="1F4E79"/>
          <w:sz w:val="21"/>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8"/>
              </w:rPr>
              <w:t>BORNE SIMPLE — Perturbation → dette → rupture ne sont pas trois intensités arbitraires : elles sont séparées par deux questions observables — l’objet revient-il seul ? Le cadre supérieur peut-il encore compenser sans changer les invariants ?</w:t>
            </w:r>
          </w:p>
        </w:tc>
      </w:tr>
    </w:tbl>
    <w:p>
      <w:pPr>
        <w:pageBreakBefore/>
        <w:spacing w:before="140" w:after="60"/>
      </w:pPr>
      <w:r>
        <w:rPr>
          <w:b/>
          <w:color w:val="2F7DBE"/>
          <w:sz w:val="32"/>
        </w:rPr>
        <w:t>39</w:t>
      </w:r>
      <w:r>
        <w:rPr>
          <w:b/>
          <w:color w:val="2F7DBE"/>
          <w:sz w:val="32"/>
        </w:rPr>
        <w:t xml:space="preserve"> — Six systèmes relationnels puis premier système englobant</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RÉSULTAT — Les six systèmes passent le filtre qualitatif et révèlent la même borne : compenser activement une dette n’est pas la résorber. Si le dispositif compensateur est retiré et que l’écart réapparaît, la dette était compensée, pas résorbée.</w:t>
            </w:r>
          </w:p>
        </w:tc>
      </w:tr>
    </w:tbl>
    <w:p>
      <w:pPr>
        <w:spacing w:before="140" w:after="60"/>
      </w:pPr>
      <w:r>
        <w:rPr>
          <w:b/>
          <w:color w:val="2F7DBE"/>
          <w:sz w:val="24"/>
        </w:rPr>
        <w:t>39.1 Les six systèmes relationnels</w:t>
      </w:r>
    </w:p>
    <w:tbl>
      <w:tblPr>
        <w:tblStyle w:val="TableGrid"/>
        <w:tblW w:type="auto" w:w="0"/>
        <w:tblLook w:firstColumn="1" w:firstRow="1" w:lastColumn="0" w:lastRow="0" w:noHBand="0" w:noVBand="1" w:val="04A0"/>
      </w:tblPr>
      <w:tblGrid>
        <w:gridCol w:w="2592"/>
        <w:gridCol w:w="2592"/>
        <w:gridCol w:w="2592"/>
        <w:gridCol w:w="2592"/>
      </w:tblGrid>
      <w:tr>
        <w:tc>
          <w:tcPr>
            <w:tcW w:type="dxa" w:w="1843"/>
            <w:shd w:fill="D9EAF7"/>
          </w:tcPr>
          <w:p>
            <w:r>
              <w:rPr>
                <w:b/>
                <w:color w:val="1F4E79"/>
                <w:sz w:val="16"/>
              </w:rPr>
              <w:t>Système</w:t>
            </w:r>
          </w:p>
        </w:tc>
        <w:tc>
          <w:tcPr>
            <w:tcW w:type="dxa" w:w="2520"/>
            <w:shd w:fill="D9EAF7"/>
          </w:tcPr>
          <w:p>
            <w:r>
              <w:rPr>
                <w:b/>
                <w:color w:val="1F4E79"/>
                <w:sz w:val="16"/>
              </w:rPr>
              <w:t>Résidu local</w:t>
            </w:r>
          </w:p>
        </w:tc>
        <w:tc>
          <w:tcPr>
            <w:tcW w:type="dxa" w:w="3024"/>
            <w:shd w:fill="D9EAF7"/>
          </w:tcPr>
          <w:p>
            <w:r>
              <w:rPr>
                <w:b/>
                <w:color w:val="1F4E79"/>
                <w:sz w:val="16"/>
              </w:rPr>
              <w:t>Compensation relationnelle</w:t>
            </w:r>
          </w:p>
        </w:tc>
        <w:tc>
          <w:tcPr>
            <w:tcW w:type="dxa" w:w="2621"/>
            <w:shd w:fill="D9EAF7"/>
          </w:tcPr>
          <w:p>
            <w:r>
              <w:rPr>
                <w:b/>
                <w:color w:val="1F4E79"/>
                <w:sz w:val="16"/>
              </w:rPr>
              <w:t>Test décisif</w:t>
            </w:r>
          </w:p>
        </w:tc>
      </w:tr>
      <w:tr>
        <w:tc>
          <w:tcPr>
            <w:tcW w:type="dxa" w:w="1843"/>
            <w:vAlign w:val="top"/>
          </w:tcPr>
          <w:p>
            <w:r>
              <w:rPr>
                <w:sz w:val="14"/>
              </w:rPr>
              <w:t>Élastique–appuis</w:t>
            </w:r>
          </w:p>
        </w:tc>
        <w:tc>
          <w:tcPr>
            <w:tcW w:type="dxa" w:w="2520"/>
            <w:vAlign w:val="top"/>
          </w:tcPr>
          <w:p>
            <w:r>
              <w:rPr>
                <w:sz w:val="14"/>
              </w:rPr>
              <w:t>Allongement permanent.</w:t>
            </w:r>
          </w:p>
        </w:tc>
        <w:tc>
          <w:tcPr>
            <w:tcW w:type="dxa" w:w="3024"/>
            <w:vAlign w:val="top"/>
          </w:tcPr>
          <w:p>
            <w:r>
              <w:rPr>
                <w:sz w:val="14"/>
              </w:rPr>
              <w:t>Déplacer les appuis restaure la tension utile.</w:t>
            </w:r>
          </w:p>
        </w:tc>
        <w:tc>
          <w:tcPr>
            <w:tcW w:type="dxa" w:w="2621"/>
            <w:vAlign w:val="top"/>
          </w:tcPr>
          <w:p>
            <w:r>
              <w:rPr>
                <w:sz w:val="14"/>
              </w:rPr>
              <w:t>Remettre les appuis : l’écart réapparaît.</w:t>
            </w:r>
          </w:p>
        </w:tc>
      </w:tr>
      <w:tr>
        <w:tc>
          <w:tcPr>
            <w:tcW w:type="dxa" w:w="1843"/>
            <w:vAlign w:val="top"/>
          </w:tcPr>
          <w:p>
            <w:r>
              <w:rPr>
                <w:sz w:val="14"/>
              </w:rPr>
              <w:t>Feuille–poids–table</w:t>
            </w:r>
          </w:p>
        </w:tc>
        <w:tc>
          <w:tcPr>
            <w:tcW w:type="dxa" w:w="2520"/>
            <w:vAlign w:val="top"/>
          </w:tcPr>
          <w:p>
            <w:r>
              <w:rPr>
                <w:sz w:val="14"/>
              </w:rPr>
              <w:t>Pli persistant.</w:t>
            </w:r>
          </w:p>
        </w:tc>
        <w:tc>
          <w:tcPr>
            <w:tcW w:type="dxa" w:w="3024"/>
            <w:vAlign w:val="top"/>
          </w:tcPr>
          <w:p>
            <w:r>
              <w:rPr>
                <w:sz w:val="14"/>
              </w:rPr>
              <w:t>Le poids maintient une surface plane.</w:t>
            </w:r>
          </w:p>
        </w:tc>
        <w:tc>
          <w:tcPr>
            <w:tcW w:type="dxa" w:w="2621"/>
            <w:vAlign w:val="top"/>
          </w:tcPr>
          <w:p>
            <w:r>
              <w:rPr>
                <w:sz w:val="14"/>
              </w:rPr>
              <w:t>Retirer le poids : le pli revient.</w:t>
            </w:r>
          </w:p>
        </w:tc>
      </w:tr>
      <w:tr>
        <w:tc>
          <w:tcPr>
            <w:tcW w:type="dxa" w:w="1843"/>
            <w:vAlign w:val="top"/>
          </w:tcPr>
          <w:p>
            <w:r>
              <w:rPr>
                <w:sz w:val="14"/>
              </w:rPr>
              <w:t>Bille–guide–piste</w:t>
            </w:r>
          </w:p>
        </w:tc>
        <w:tc>
          <w:tcPr>
            <w:tcW w:type="dxa" w:w="2520"/>
            <w:vAlign w:val="top"/>
          </w:tcPr>
          <w:p>
            <w:r>
              <w:rPr>
                <w:sz w:val="14"/>
              </w:rPr>
              <w:t>Rondeur ou axe altéré.</w:t>
            </w:r>
          </w:p>
        </w:tc>
        <w:tc>
          <w:tcPr>
            <w:tcW w:type="dxa" w:w="3024"/>
            <w:vAlign w:val="top"/>
          </w:tcPr>
          <w:p>
            <w:r>
              <w:rPr>
                <w:sz w:val="14"/>
              </w:rPr>
              <w:t>Le guide maintient la trajectoire attendue.</w:t>
            </w:r>
          </w:p>
        </w:tc>
        <w:tc>
          <w:tcPr>
            <w:tcW w:type="dxa" w:w="2621"/>
            <w:vAlign w:val="top"/>
          </w:tcPr>
          <w:p>
            <w:r>
              <w:rPr>
                <w:sz w:val="14"/>
              </w:rPr>
              <w:t>Retirer le guide : la déviation revient.</w:t>
            </w:r>
          </w:p>
        </w:tc>
      </w:tr>
      <w:tr>
        <w:tc>
          <w:tcPr>
            <w:tcW w:type="dxa" w:w="1843"/>
            <w:vAlign w:val="top"/>
          </w:tcPr>
          <w:p>
            <w:r>
              <w:rPr>
                <w:sz w:val="14"/>
              </w:rPr>
              <w:t>Verre–patch–eau</w:t>
            </w:r>
          </w:p>
        </w:tc>
        <w:tc>
          <w:tcPr>
            <w:tcW w:type="dxa" w:w="2520"/>
            <w:vAlign w:val="top"/>
          </w:tcPr>
          <w:p>
            <w:r>
              <w:rPr>
                <w:sz w:val="14"/>
              </w:rPr>
              <w:t>Fissure ou fuite limitée.</w:t>
            </w:r>
          </w:p>
        </w:tc>
        <w:tc>
          <w:tcPr>
            <w:tcW w:type="dxa" w:w="3024"/>
            <w:vAlign w:val="top"/>
          </w:tcPr>
          <w:p>
            <w:r>
              <w:rPr>
                <w:sz w:val="14"/>
              </w:rPr>
              <w:t>Le patch conserve provisoirement la fonction contenant.</w:t>
            </w:r>
          </w:p>
        </w:tc>
        <w:tc>
          <w:tcPr>
            <w:tcW w:type="dxa" w:w="2621"/>
            <w:vAlign w:val="top"/>
          </w:tcPr>
          <w:p>
            <w:r>
              <w:rPr>
                <w:sz w:val="14"/>
              </w:rPr>
              <w:t>Retirer le patch : la fuite revient.</w:t>
            </w:r>
          </w:p>
        </w:tc>
      </w:tr>
      <w:tr>
        <w:tc>
          <w:tcPr>
            <w:tcW w:type="dxa" w:w="1843"/>
            <w:vAlign w:val="top"/>
          </w:tcPr>
          <w:p>
            <w:r>
              <w:rPr>
                <w:sz w:val="14"/>
              </w:rPr>
              <w:t>Aimant–support–cible</w:t>
            </w:r>
          </w:p>
        </w:tc>
        <w:tc>
          <w:tcPr>
            <w:tcW w:type="dxa" w:w="2520"/>
            <w:vAlign w:val="top"/>
          </w:tcPr>
          <w:p>
            <w:r>
              <w:rPr>
                <w:sz w:val="14"/>
              </w:rPr>
              <w:t>Position ou orientation altérée.</w:t>
            </w:r>
          </w:p>
        </w:tc>
        <w:tc>
          <w:tcPr>
            <w:tcW w:type="dxa" w:w="3024"/>
            <w:vAlign w:val="top"/>
          </w:tcPr>
          <w:p>
            <w:r>
              <w:rPr>
                <w:sz w:val="14"/>
              </w:rPr>
              <w:t>Le support rétablit l’effet à distance.</w:t>
            </w:r>
          </w:p>
        </w:tc>
        <w:tc>
          <w:tcPr>
            <w:tcW w:type="dxa" w:w="2621"/>
            <w:vAlign w:val="top"/>
          </w:tcPr>
          <w:p>
            <w:r>
              <w:rPr>
                <w:sz w:val="14"/>
              </w:rPr>
              <w:t>Retirer le support : l’effet utile disparaît.</w:t>
            </w:r>
          </w:p>
        </w:tc>
      </w:tr>
      <w:tr>
        <w:tc>
          <w:tcPr>
            <w:tcW w:type="dxa" w:w="1843"/>
            <w:vAlign w:val="top"/>
          </w:tcPr>
          <w:p>
            <w:r>
              <w:rPr>
                <w:sz w:val="14"/>
              </w:rPr>
              <w:t>Tire-bouchon–guide–bouteille</w:t>
            </w:r>
          </w:p>
        </w:tc>
        <w:tc>
          <w:tcPr>
            <w:tcW w:type="dxa" w:w="2520"/>
            <w:vAlign w:val="top"/>
          </w:tcPr>
          <w:p>
            <w:r>
              <w:rPr>
                <w:sz w:val="14"/>
              </w:rPr>
              <w:t>Axe légèrement courbé.</w:t>
            </w:r>
          </w:p>
        </w:tc>
        <w:tc>
          <w:tcPr>
            <w:tcW w:type="dxa" w:w="3024"/>
            <w:vAlign w:val="top"/>
          </w:tcPr>
          <w:p>
            <w:r>
              <w:rPr>
                <w:sz w:val="14"/>
              </w:rPr>
              <w:t>Le guide ou la main corrige le désaxage.</w:t>
            </w:r>
          </w:p>
        </w:tc>
        <w:tc>
          <w:tcPr>
            <w:tcW w:type="dxa" w:w="2621"/>
            <w:vAlign w:val="top"/>
          </w:tcPr>
          <w:p>
            <w:r>
              <w:rPr>
                <w:sz w:val="14"/>
              </w:rPr>
              <w:t>Retirer le guidage : l’écart fonctionnel revient.</w:t>
            </w:r>
          </w:p>
        </w:tc>
      </w:tr>
    </w:tbl>
    <w:p>
      <w:pPr>
        <w:spacing w:before="140" w:after="60"/>
      </w:pPr>
      <w:r>
        <w:rPr>
          <w:b/>
          <w:color w:val="2F7DBE"/>
          <w:sz w:val="24"/>
        </w:rPr>
        <w:t>39.2 Borne commune obtenue</w:t>
      </w:r>
    </w:p>
    <w:p>
      <w:pPr>
        <w:pStyle w:val="ListBullet"/>
        <w:spacing w:after="20"/>
      </w:pPr>
      <w:r>
        <w:rPr>
          <w:sz w:val="18"/>
        </w:rPr>
        <w:t>Compensation active et réversible : la dette est contenue par le cadre supérieur.</w:t>
      </w:r>
    </w:p>
    <w:p>
      <w:pPr>
        <w:pStyle w:val="ListBullet"/>
        <w:spacing w:after="20"/>
      </w:pPr>
      <w:r>
        <w:rPr>
          <w:sz w:val="18"/>
        </w:rPr>
        <w:t>Retrait de la compensation sans réapparition de l’écart : la dette est résorbée, car l’objet a retrouvé un état équivalent.</w:t>
      </w:r>
    </w:p>
    <w:p>
      <w:pPr>
        <w:pStyle w:val="ListBullet"/>
        <w:spacing w:after="20"/>
      </w:pPr>
      <w:r>
        <w:rPr>
          <w:sz w:val="18"/>
        </w:rPr>
        <w:t>Retrait de la compensation avec retour de l’écart : la dette persiste.</w:t>
      </w:r>
    </w:p>
    <w:p>
      <w:pPr>
        <w:pStyle w:val="ListBullet"/>
        <w:spacing w:after="20"/>
      </w:pPr>
      <w:r>
        <w:rPr>
          <w:sz w:val="18"/>
        </w:rPr>
        <w:t>Compensation qui dégrade à son tour un voisin : nouveau résidu causal à examiner séparément, sans moyenne ni double comptage.</w:t>
      </w:r>
    </w:p>
    <w:p>
      <w:pPr>
        <w:spacing w:before="140" w:after="60"/>
      </w:pPr>
      <w:r>
        <w:rPr>
          <w:b/>
          <w:color w:val="2F7DBE"/>
          <w:sz w:val="24"/>
        </w:rPr>
        <w:t>39.3 Premier niveau supérieur : un roulement simple</w:t>
      </w:r>
    </w:p>
    <w:p>
      <w:pPr>
        <w:pStyle w:val="ListBullet"/>
        <w:spacing w:after="20"/>
      </w:pPr>
      <w:r>
        <w:rPr>
          <w:sz w:val="18"/>
        </w:rPr>
        <w:t>Référence fixée : géométrie des pistes, répartition des billes, charge admissible et rotation utile.</w:t>
      </w:r>
    </w:p>
    <w:p>
      <w:pPr>
        <w:pStyle w:val="ListBullet"/>
        <w:spacing w:after="20"/>
      </w:pPr>
      <w:r>
        <w:rPr>
          <w:sz w:val="18"/>
        </w:rPr>
        <w:t>Une bille légèrement déformée peut rester localement présente tandis que pistes et billes voisines redistribuent la charge.</w:t>
      </w:r>
    </w:p>
    <w:p>
      <w:pPr>
        <w:pStyle w:val="ListBullet"/>
        <w:spacing w:after="20"/>
      </w:pPr>
      <w:r>
        <w:rPr>
          <w:sz w:val="18"/>
        </w:rPr>
        <w:t>Si le roulement tourne encore uniquement grâce à cette redistribution, la dette locale est compensée activement par le roulement ; elle n’est pas résorbée.</w:t>
      </w:r>
    </w:p>
    <w:p>
      <w:pPr>
        <w:pStyle w:val="ListBullet"/>
        <w:spacing w:after="20"/>
      </w:pPr>
      <w:r>
        <w:rPr>
          <w:sz w:val="18"/>
        </w:rPr>
        <w:t>Si la redistribution surcharge une bille voisine ou une piste, un résidu nouveau apparaît dans ce voisin : propagation causale à tester au cadre suivant.</w:t>
      </w:r>
    </w:p>
    <w:p>
      <w:pPr>
        <w:pStyle w:val="ListBullet"/>
        <w:spacing w:after="20"/>
      </w:pPr>
      <w:r>
        <w:rPr>
          <w:sz w:val="18"/>
        </w:rPr>
        <w:t>Si aucune redistribution ne préserve rotation et invariants, le roulement franchit la borne de rupture.</w:t>
      </w:r>
    </w:p>
    <w:p>
      <w:pPr>
        <w:spacing w:before="140" w:after="60"/>
      </w:pPr>
      <w:r>
        <w:rPr>
          <w:b/>
          <w:color w:val="2F7DBE"/>
          <w:sz w:val="24"/>
        </w:rPr>
        <w:t>39.4 Calcul multicadre obligatoire</w:t>
      </w:r>
    </w:p>
    <w:p>
      <w:pPr>
        <w:pStyle w:val="ListBullet"/>
        <w:spacing w:after="20"/>
      </w:pPr>
      <w:r>
        <w:rPr>
          <w:sz w:val="18"/>
        </w:rPr>
        <w:t>Six cadres relationnels simples : PASS qualitatif pour la distinction compensation active/résorption fonctionnelle.</w:t>
      </w:r>
    </w:p>
    <w:p>
      <w:pPr>
        <w:pStyle w:val="ListBullet"/>
        <w:spacing w:after="20"/>
      </w:pPr>
      <w:r>
        <w:rPr>
          <w:sz w:val="18"/>
        </w:rPr>
        <w:t>Roulement complet : PASS conceptuel comme premier cas englobant ; aucune mesure de charge ou de durée n’est encore fournie.</w:t>
      </w:r>
    </w:p>
    <w:p>
      <w:pPr>
        <w:pStyle w:val="ListBullet"/>
        <w:spacing w:after="20"/>
      </w:pPr>
      <w:r>
        <w:rPr>
          <w:sz w:val="18"/>
        </w:rPr>
        <w:t>Billes opposées, support mécanique, machine complète : NON_MESURÉ.</w:t>
      </w:r>
    </w:p>
    <w:p>
      <w:pPr>
        <w:pStyle w:val="ListBullet"/>
        <w:spacing w:after="20"/>
      </w:pPr>
      <w:r>
        <w:rPr>
          <w:sz w:val="18"/>
        </w:rPr>
        <w:t>Cadre planétaire : NON_MESURÉ.</w:t>
      </w:r>
    </w:p>
    <w:p>
      <w:pPr>
        <w:jc w:val="center"/>
      </w:pPr>
      <w:r>
        <w:rPr>
          <w:b/>
          <w:color w:val="1F4E79"/>
          <w:sz w:val="21"/>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8"/>
              </w:rPr>
              <w:t>NOUVELLE BORNE — Fonction conservée ne signifie pas dette nulle. Tant qu’un voisin doit maintenir une compensation supplémentaire, la dette subsiste ; elle n’est résorbée que si cette compensation peut cesser sans retour de l’écart.</w:t>
            </w:r>
          </w:p>
        </w:tc>
      </w:tr>
    </w:tbl>
    <w:p>
      <w:pPr>
        <w:pageBreakBefore/>
        <w:spacing w:before="140" w:after="60"/>
      </w:pPr>
      <w:r>
        <w:rPr>
          <w:b/>
          <w:color w:val="2F7DBE"/>
          <w:sz w:val="32"/>
        </w:rPr>
        <w:t>40</w:t>
      </w:r>
      <w:r>
        <w:rPr>
          <w:b/>
          <w:color w:val="2F7DBE"/>
          <w:sz w:val="32"/>
        </w:rPr>
        <w:t xml:space="preserve"> — La compensation normale n’est pas une dette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CORRECTION ISSUE DU FILTRE NÉGATIF — « Toute compensation est une dette » est faux. La dette est l’écart persistant de l’englobant ; la compensation supplémentaire est la réponse qu’il doit fournir au-delà de son fonctionnement de référence fixé avant l’essai.</w:t>
            </w:r>
          </w:p>
        </w:tc>
      </w:tr>
    </w:tbl>
    <w:p>
      <w:pPr>
        <w:spacing w:before="140" w:after="60"/>
      </w:pPr>
      <w:r>
        <w:rPr>
          <w:b/>
          <w:color w:val="2F7DBE"/>
          <w:sz w:val="24"/>
        </w:rPr>
        <w:t>40.1 Passage sur six systèmes englobants</w:t>
      </w:r>
    </w:p>
    <w:tbl>
      <w:tblPr>
        <w:tblStyle w:val="TableGrid"/>
        <w:tblW w:type="auto" w:w="0"/>
        <w:tblLook w:firstColumn="1" w:firstRow="1" w:lastColumn="0" w:lastRow="0" w:noHBand="0" w:noVBand="1" w:val="04A0"/>
      </w:tblPr>
      <w:tblGrid>
        <w:gridCol w:w="2592"/>
        <w:gridCol w:w="2592"/>
        <w:gridCol w:w="2592"/>
        <w:gridCol w:w="2592"/>
      </w:tblGrid>
      <w:tr>
        <w:tc>
          <w:tcPr>
            <w:tcW w:type="dxa" w:w="1800"/>
            <w:shd w:fill="D9EAF7"/>
          </w:tcPr>
          <w:p>
            <w:r>
              <w:rPr>
                <w:b/>
                <w:color w:val="1F4E79"/>
                <w:sz w:val="16"/>
              </w:rPr>
              <w:t>Système</w:t>
            </w:r>
          </w:p>
        </w:tc>
        <w:tc>
          <w:tcPr>
            <w:tcW w:type="dxa" w:w="2664"/>
            <w:shd w:fill="D9EAF7"/>
          </w:tcPr>
          <w:p>
            <w:r>
              <w:rPr>
                <w:b/>
                <w:color w:val="1F4E79"/>
                <w:sz w:val="16"/>
              </w:rPr>
              <w:t>Compensation normale</w:t>
            </w:r>
          </w:p>
        </w:tc>
        <w:tc>
          <w:tcPr>
            <w:tcW w:type="dxa" w:w="3096"/>
            <w:shd w:fill="D9EAF7"/>
          </w:tcPr>
          <w:p>
            <w:r>
              <w:rPr>
                <w:b/>
                <w:color w:val="1F4E79"/>
                <w:sz w:val="16"/>
              </w:rPr>
              <w:t>Écart persistant</w:t>
            </w:r>
          </w:p>
        </w:tc>
        <w:tc>
          <w:tcPr>
            <w:tcW w:type="dxa" w:w="2477"/>
            <w:shd w:fill="D9EAF7"/>
          </w:tcPr>
          <w:p>
            <w:r>
              <w:rPr>
                <w:b/>
                <w:color w:val="1F4E79"/>
                <w:sz w:val="16"/>
              </w:rPr>
              <w:t>Dette retenue</w:t>
            </w:r>
          </w:p>
        </w:tc>
      </w:tr>
      <w:tr>
        <w:tc>
          <w:tcPr>
            <w:tcW w:type="dxa" w:w="1800"/>
            <w:vAlign w:val="top"/>
          </w:tcPr>
          <w:p>
            <w:r>
              <w:rPr>
                <w:sz w:val="14"/>
              </w:rPr>
              <w:t>Roulement</w:t>
            </w:r>
          </w:p>
        </w:tc>
        <w:tc>
          <w:tcPr>
            <w:tcW w:type="dxa" w:w="2664"/>
            <w:vAlign w:val="top"/>
          </w:tcPr>
          <w:p>
            <w:r>
              <w:rPr>
                <w:sz w:val="14"/>
              </w:rPr>
              <w:t>Répartition prévue de la charge entre billes et pistes.</w:t>
            </w:r>
          </w:p>
        </w:tc>
        <w:tc>
          <w:tcPr>
            <w:tcW w:type="dxa" w:w="3096"/>
            <w:vAlign w:val="top"/>
          </w:tcPr>
          <w:p>
            <w:r>
              <w:rPr>
                <w:sz w:val="14"/>
              </w:rPr>
              <w:t>Bille déformée : redistribution supplémentaire.</w:t>
            </w:r>
          </w:p>
        </w:tc>
        <w:tc>
          <w:tcPr>
            <w:tcW w:type="dxa" w:w="2477"/>
            <w:vAlign w:val="top"/>
          </w:tcPr>
          <w:p>
            <w:r>
              <w:rPr>
                <w:sz w:val="14"/>
              </w:rPr>
              <w:t>Surcroît imposé aux voisins.</w:t>
            </w:r>
          </w:p>
        </w:tc>
      </w:tr>
      <w:tr>
        <w:tc>
          <w:tcPr>
            <w:tcW w:type="dxa" w:w="1800"/>
            <w:vAlign w:val="top"/>
          </w:tcPr>
          <w:p>
            <w:r>
              <w:rPr>
                <w:sz w:val="14"/>
              </w:rPr>
              <w:t>Tabouret</w:t>
            </w:r>
          </w:p>
        </w:tc>
        <w:tc>
          <w:tcPr>
            <w:tcW w:type="dxa" w:w="2664"/>
            <w:vAlign w:val="top"/>
          </w:tcPr>
          <w:p>
            <w:r>
              <w:rPr>
                <w:sz w:val="14"/>
              </w:rPr>
              <w:t>Quatre pieds portent normalement la charge.</w:t>
            </w:r>
          </w:p>
        </w:tc>
        <w:tc>
          <w:tcPr>
            <w:tcW w:type="dxa" w:w="3096"/>
            <w:vAlign w:val="top"/>
          </w:tcPr>
          <w:p>
            <w:r>
              <w:rPr>
                <w:sz w:val="14"/>
              </w:rPr>
              <w:t>Pied raccourci : sol, cale et autres pieds compensent.</w:t>
            </w:r>
          </w:p>
        </w:tc>
        <w:tc>
          <w:tcPr>
            <w:tcW w:type="dxa" w:w="2477"/>
            <w:vAlign w:val="top"/>
          </w:tcPr>
          <w:p>
            <w:r>
              <w:rPr>
                <w:sz w:val="14"/>
              </w:rPr>
              <w:t>Appui supplémentaire dû au défaut.</w:t>
            </w:r>
          </w:p>
        </w:tc>
      </w:tr>
      <w:tr>
        <w:tc>
          <w:tcPr>
            <w:tcW w:type="dxa" w:w="1800"/>
            <w:vAlign w:val="top"/>
          </w:tcPr>
          <w:p>
            <w:r>
              <w:rPr>
                <w:sz w:val="14"/>
              </w:rPr>
              <w:t>Circuit parallèle</w:t>
            </w:r>
          </w:p>
        </w:tc>
        <w:tc>
          <w:tcPr>
            <w:tcW w:type="dxa" w:w="2664"/>
            <w:vAlign w:val="top"/>
          </w:tcPr>
          <w:p>
            <w:r>
              <w:rPr>
                <w:sz w:val="14"/>
              </w:rPr>
              <w:t>Les branches partagent normalement le courant.</w:t>
            </w:r>
          </w:p>
        </w:tc>
        <w:tc>
          <w:tcPr>
            <w:tcW w:type="dxa" w:w="3096"/>
            <w:vAlign w:val="top"/>
          </w:tcPr>
          <w:p>
            <w:r>
              <w:rPr>
                <w:sz w:val="14"/>
              </w:rPr>
              <w:t>Branche dégradée : alimentation ou autres branches compensent.</w:t>
            </w:r>
          </w:p>
        </w:tc>
        <w:tc>
          <w:tcPr>
            <w:tcW w:type="dxa" w:w="2477"/>
            <w:vAlign w:val="top"/>
          </w:tcPr>
          <w:p>
            <w:r>
              <w:rPr>
                <w:sz w:val="14"/>
              </w:rPr>
              <w:t>Effort électrique au-delà de la référence.</w:t>
            </w:r>
          </w:p>
        </w:tc>
      </w:tr>
      <w:tr>
        <w:tc>
          <w:tcPr>
            <w:tcW w:type="dxa" w:w="1800"/>
            <w:vAlign w:val="top"/>
          </w:tcPr>
          <w:p>
            <w:r>
              <w:rPr>
                <w:sz w:val="14"/>
              </w:rPr>
              <w:t>Eau–pompe–tuyau</w:t>
            </w:r>
          </w:p>
        </w:tc>
        <w:tc>
          <w:tcPr>
            <w:tcW w:type="dxa" w:w="2664"/>
            <w:vAlign w:val="top"/>
          </w:tcPr>
          <w:p>
            <w:r>
              <w:rPr>
                <w:sz w:val="14"/>
              </w:rPr>
              <w:t>La pompe maintient normalement débit et pression.</w:t>
            </w:r>
          </w:p>
        </w:tc>
        <w:tc>
          <w:tcPr>
            <w:tcW w:type="dxa" w:w="3096"/>
            <w:vAlign w:val="top"/>
          </w:tcPr>
          <w:p>
            <w:r>
              <w:rPr>
                <w:sz w:val="14"/>
              </w:rPr>
              <w:t>Petite fuite : durée ou effort de pompage augmente.</w:t>
            </w:r>
          </w:p>
        </w:tc>
        <w:tc>
          <w:tcPr>
            <w:tcW w:type="dxa" w:w="2477"/>
            <w:vAlign w:val="top"/>
          </w:tcPr>
          <w:p>
            <w:r>
              <w:rPr>
                <w:sz w:val="14"/>
              </w:rPr>
              <w:t>Surcroît dû à la fuite persistante.</w:t>
            </w:r>
          </w:p>
        </w:tc>
      </w:tr>
      <w:tr>
        <w:tc>
          <w:tcPr>
            <w:tcW w:type="dxa" w:w="1800"/>
            <w:vAlign w:val="top"/>
          </w:tcPr>
          <w:p>
            <w:r>
              <w:rPr>
                <w:sz w:val="14"/>
              </w:rPr>
              <w:t>Boîte–chauffage–thermostat</w:t>
            </w:r>
          </w:p>
        </w:tc>
        <w:tc>
          <w:tcPr>
            <w:tcW w:type="dxa" w:w="2664"/>
            <w:vAlign w:val="top"/>
          </w:tcPr>
          <w:p>
            <w:r>
              <w:rPr>
                <w:sz w:val="14"/>
              </w:rPr>
              <w:t>Le chauffage couvre les pertes thermiques prévues.</w:t>
            </w:r>
          </w:p>
        </w:tc>
        <w:tc>
          <w:tcPr>
            <w:tcW w:type="dxa" w:w="3096"/>
            <w:vAlign w:val="top"/>
          </w:tcPr>
          <w:p>
            <w:r>
              <w:rPr>
                <w:sz w:val="14"/>
              </w:rPr>
              <w:t>Joint dégradé : fonctionnement supplémentaire.</w:t>
            </w:r>
          </w:p>
        </w:tc>
        <w:tc>
          <w:tcPr>
            <w:tcW w:type="dxa" w:w="2477"/>
            <w:vAlign w:val="top"/>
          </w:tcPr>
          <w:p>
            <w:r>
              <w:rPr>
                <w:sz w:val="14"/>
              </w:rPr>
              <w:t>Chauffage excédentaire dû au joint.</w:t>
            </w:r>
          </w:p>
        </w:tc>
      </w:tr>
      <w:tr>
        <w:tc>
          <w:tcPr>
            <w:tcW w:type="dxa" w:w="1800"/>
            <w:vAlign w:val="top"/>
          </w:tcPr>
          <w:p>
            <w:r>
              <w:rPr>
                <w:sz w:val="14"/>
              </w:rPr>
              <w:t>Stockage redondant</w:t>
            </w:r>
          </w:p>
        </w:tc>
        <w:tc>
          <w:tcPr>
            <w:tcW w:type="dxa" w:w="2664"/>
            <w:vAlign w:val="top"/>
          </w:tcPr>
          <w:p>
            <w:r>
              <w:rPr>
                <w:sz w:val="14"/>
              </w:rPr>
              <w:t>La redondance normale conserve deux copies.</w:t>
            </w:r>
          </w:p>
        </w:tc>
        <w:tc>
          <w:tcPr>
            <w:tcW w:type="dxa" w:w="3096"/>
            <w:vAlign w:val="top"/>
          </w:tcPr>
          <w:p>
            <w:r>
              <w:rPr>
                <w:sz w:val="14"/>
              </w:rPr>
              <w:t>Disque dégradé : l’autre porte seul la charge et reconstruit.</w:t>
            </w:r>
          </w:p>
        </w:tc>
        <w:tc>
          <w:tcPr>
            <w:tcW w:type="dxa" w:w="2477"/>
            <w:vAlign w:val="top"/>
          </w:tcPr>
          <w:p>
            <w:r>
              <w:rPr>
                <w:sz w:val="14"/>
              </w:rPr>
              <w:t>Charge supplémentaire jusqu’à réparation.</w:t>
            </w:r>
          </w:p>
        </w:tc>
      </w:tr>
    </w:tbl>
    <w:p>
      <w:pPr>
        <w:spacing w:before="140" w:after="60"/>
      </w:pPr>
      <w:r>
        <w:rPr>
          <w:b/>
          <w:color w:val="2F7DBE"/>
          <w:sz w:val="24"/>
        </w:rPr>
        <w:t>40.2 Définition minimale corrigée</w:t>
      </w:r>
    </w:p>
    <w:p>
      <w:pPr>
        <w:pStyle w:val="ListBullet"/>
        <w:spacing w:after="20"/>
      </w:pPr>
      <w:r>
        <w:rPr>
          <w:sz w:val="18"/>
        </w:rPr>
        <w:t>Fixer avant l’essai l’état, la fonction et l’effort compensateur normaux du cadre.</w:t>
      </w:r>
    </w:p>
    <w:p>
      <w:pPr>
        <w:pStyle w:val="ListBullet"/>
        <w:spacing w:after="20"/>
      </w:pPr>
      <w:r>
        <w:rPr>
          <w:sz w:val="18"/>
        </w:rPr>
        <w:t>Constater un écart persistant par rapport à cette référence.</w:t>
      </w:r>
    </w:p>
    <w:p>
      <w:pPr>
        <w:pStyle w:val="ListBullet"/>
        <w:spacing w:after="20"/>
      </w:pPr>
      <w:r>
        <w:rPr>
          <w:sz w:val="18"/>
        </w:rPr>
        <w:t>Attribuer causalement la compensation supplémentaire à cet écart.</w:t>
      </w:r>
    </w:p>
    <w:p>
      <w:pPr>
        <w:pStyle w:val="ListBullet"/>
        <w:spacing w:after="20"/>
      </w:pPr>
      <w:r>
        <w:rPr>
          <w:sz w:val="18"/>
        </w:rPr>
        <w:t>Dette : écart causal persistant de l’état de l’englobant à sa référence. Compensation : action supplémentaire nécessaire pour réduire cet écart.</w:t>
      </w:r>
    </w:p>
    <w:p>
      <w:pPr>
        <w:pStyle w:val="ListBullet"/>
        <w:spacing w:after="20"/>
      </w:pPr>
      <w:r>
        <w:rPr>
          <w:sz w:val="18"/>
        </w:rPr>
        <w:t>Si la compensation reste au niveau de référence : aucune dette démontrée.</w:t>
      </w:r>
    </w:p>
    <w:p>
      <w:pPr>
        <w:spacing w:before="140" w:after="60"/>
      </w:pPr>
      <w:r>
        <w:rPr>
          <w:b/>
          <w:color w:val="2F7DBE"/>
          <w:sz w:val="24"/>
        </w:rPr>
        <w:t>40.3 Premier système de systèmes : une maison</w:t>
      </w:r>
    </w:p>
    <w:p>
      <w:pPr>
        <w:pStyle w:val="ListBullet"/>
        <w:spacing w:after="20"/>
      </w:pPr>
      <w:r>
        <w:rPr>
          <w:sz w:val="18"/>
        </w:rPr>
        <w:t>Référence : structure stable, eau contenue, réseau électrique nominal, température et usages définis.</w:t>
      </w:r>
    </w:p>
    <w:p>
      <w:pPr>
        <w:pStyle w:val="ListBullet"/>
        <w:spacing w:after="20"/>
      </w:pPr>
      <w:r>
        <w:rPr>
          <w:sz w:val="18"/>
        </w:rPr>
        <w:t>Le chauffage normal n’est pas une dette ; il appartient au fonctionnement de référence.</w:t>
      </w:r>
    </w:p>
    <w:p>
      <w:pPr>
        <w:pStyle w:val="ListBullet"/>
        <w:spacing w:after="20"/>
      </w:pPr>
      <w:r>
        <w:rPr>
          <w:sz w:val="18"/>
        </w:rPr>
        <w:t>Un joint de fenêtre dégradé impose un chauffage supplémentaire : dette thermique contenue par le système de chauffage.</w:t>
      </w:r>
    </w:p>
    <w:p>
      <w:pPr>
        <w:pStyle w:val="ListBullet"/>
        <w:spacing w:after="20"/>
      </w:pPr>
      <w:r>
        <w:rPr>
          <w:sz w:val="18"/>
        </w:rPr>
        <w:t>Réparer le joint puis retrouver l’effort initial résorbe fonctionnellement la dette ; maintenir le chauffage accru la compense activement.</w:t>
      </w:r>
    </w:p>
    <w:p>
      <w:pPr>
        <w:pStyle w:val="ListBullet"/>
        <w:spacing w:after="20"/>
      </w:pPr>
      <w:r>
        <w:rPr>
          <w:sz w:val="18"/>
        </w:rPr>
        <w:t>Si l’électricité supplémentaire atteint le réseau extérieur, cet effet causal ouvre le cadre supérieur ; sinon il reste fermé.</w:t>
      </w:r>
    </w:p>
    <w:p>
      <w:pPr>
        <w:spacing w:before="140" w:after="60"/>
      </w:pPr>
      <w:r>
        <w:rPr>
          <w:b/>
          <w:color w:val="2F7DBE"/>
          <w:sz w:val="24"/>
        </w:rPr>
        <w:t>40.4 Calcul multicadre obligatoire</w:t>
      </w:r>
    </w:p>
    <w:p>
      <w:pPr>
        <w:pStyle w:val="ListBullet"/>
        <w:spacing w:after="20"/>
      </w:pPr>
      <w:r>
        <w:rPr>
          <w:sz w:val="18"/>
        </w:rPr>
        <w:t>Six systèmes englobants : PASS qualitatif après correction par rapport à une référence préalable.</w:t>
      </w:r>
    </w:p>
    <w:p>
      <w:pPr>
        <w:pStyle w:val="ListBullet"/>
        <w:spacing w:after="20"/>
      </w:pPr>
      <w:r>
        <w:rPr>
          <w:sz w:val="18"/>
        </w:rPr>
        <w:t>Maison : PASS conceptuel comme premier système de systèmes ; coûts, énergie et temps = NON_MESURÉ.</w:t>
      </w:r>
    </w:p>
    <w:p>
      <w:pPr>
        <w:pStyle w:val="ListBullet"/>
        <w:spacing w:after="20"/>
      </w:pPr>
      <w:r>
        <w:rPr>
          <w:sz w:val="18"/>
        </w:rPr>
        <w:t>Quartier, réseau énergétique et cadres suivants : NON_MESURÉ.</w:t>
      </w:r>
    </w:p>
    <w:p>
      <w:pPr>
        <w:pStyle w:val="ListBullet"/>
        <w:spacing w:after="20"/>
      </w:pPr>
      <w:r>
        <w:rPr>
          <w:sz w:val="18"/>
        </w:rPr>
        <w:t>Cadre planétaire : NON_MESURÉ.</w:t>
      </w:r>
    </w:p>
    <w:p>
      <w:pPr>
        <w:jc w:val="center"/>
      </w:pPr>
      <w:r>
        <w:rPr>
          <w:b/>
          <w:color w:val="1F4E79"/>
          <w:sz w:val="21"/>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8"/>
              </w:rPr>
              <w:t>BORNE — Compensation de référence = fonctionnement normal. Une compensation supplémentaire est une réponse observable ; la dette est l’écart propre qui la rend nécessaire. Sans référence fixée avant l’essai, dette et supplément restent NON_MESURÉS.</w:t>
            </w:r>
          </w:p>
        </w:tc>
      </w:tr>
    </w:tbl>
    <w:p>
      <w:pPr>
        <w:pageBreakBefore/>
        <w:spacing w:before="140" w:after="60"/>
      </w:pPr>
      <w:r>
        <w:rPr>
          <w:b/>
          <w:color w:val="2F7DBE"/>
          <w:sz w:val="32"/>
        </w:rPr>
        <w:t>41</w:t>
      </w:r>
      <w:r>
        <w:rPr>
          <w:b/>
          <w:color w:val="2F7DBE"/>
          <w:sz w:val="32"/>
        </w:rPr>
        <w:t xml:space="preserve"> — Profondeur causale et cadre planétaire terminal</w:t>
      </w:r>
    </w:p>
    <w:tbl>
      <w:tblPr>
        <w:tblW w:type="auto" w:w="0"/>
        <w:tblLook w:firstColumn="1" w:firstRow="1" w:lastColumn="0" w:lastRow="0" w:noHBand="0" w:noVBand="1" w:val="04A0"/>
      </w:tblPr>
      <w:tblGrid>
        <w:gridCol w:w="10368"/>
      </w:tblGrid>
      <w:tr>
        <w:tc>
          <w:tcPr>
            <w:tcW w:type="dxa" w:w="10368"/>
            <w:vAlign w:val="center"/>
            <w:shd w:fill="D9EAD3"/>
          </w:tcPr>
          <w:p>
            <w:r>
              <w:rPr>
                <w:b/>
                <w:color w:val="1F4E79"/>
                <w:sz w:val="18"/>
              </w:rPr>
              <w:t>VERDICT FINAL — Dans le cadre humain terrestre, la chaîne d’audit ne s’arrête jamais avant la planète. La prédiction ne s’affine qu’avec des cadres intermédiaires causalement discriminants et des proxys mesurés ; leur simple nombre ne garantit rien. La planète reste le terminal d’audit terrestre.</w:t>
            </w:r>
          </w:p>
        </w:tc>
      </w:tr>
    </w:tbl>
    <w:p>
      <w:pPr>
        <w:spacing w:before="140" w:after="60"/>
      </w:pPr>
      <w:r>
        <w:rPr>
          <w:b/>
          <w:color w:val="2F7DBE"/>
          <w:sz w:val="24"/>
        </w:rPr>
        <w:t>41.1 Passage sur six chaînes simples</w:t>
      </w:r>
    </w:p>
    <w:tbl>
      <w:tblPr>
        <w:tblStyle w:val="TableGrid"/>
        <w:tblW w:type="auto" w:w="0"/>
        <w:tblLook w:firstColumn="1" w:firstRow="1" w:lastColumn="0" w:lastRow="0" w:noHBand="0" w:noVBand="1" w:val="04A0"/>
      </w:tblPr>
      <w:tblGrid>
        <w:gridCol w:w="2592"/>
        <w:gridCol w:w="2592"/>
        <w:gridCol w:w="2592"/>
        <w:gridCol w:w="2592"/>
      </w:tblGrid>
      <w:tr>
        <w:tc>
          <w:tcPr>
            <w:tcW w:type="dxa" w:w="1512"/>
            <w:shd w:fill="D9EAF7"/>
          </w:tcPr>
          <w:p>
            <w:r>
              <w:rPr>
                <w:b/>
                <w:color w:val="1F4E79"/>
                <w:sz w:val="16"/>
              </w:rPr>
              <w:t>Cas</w:t>
            </w:r>
          </w:p>
        </w:tc>
        <w:tc>
          <w:tcPr>
            <w:tcW w:type="dxa" w:w="3528"/>
            <w:shd w:fill="D9EAF7"/>
          </w:tcPr>
          <w:p>
            <w:r>
              <w:rPr>
                <w:b/>
                <w:color w:val="1F4E79"/>
                <w:sz w:val="16"/>
              </w:rPr>
              <w:t>Chaîne causale utile</w:t>
            </w:r>
          </w:p>
        </w:tc>
        <w:tc>
          <w:tcPr>
            <w:tcW w:type="dxa" w:w="2952"/>
            <w:shd w:fill="D9EAF7"/>
          </w:tcPr>
          <w:p>
            <w:r>
              <w:rPr>
                <w:b/>
                <w:color w:val="1F4E79"/>
                <w:sz w:val="16"/>
              </w:rPr>
              <w:t>Ce que le cadre ajoute</w:t>
            </w:r>
          </w:p>
        </w:tc>
        <w:tc>
          <w:tcPr>
            <w:tcW w:type="dxa" w:w="2045"/>
            <w:shd w:fill="D9EAF7"/>
          </w:tcPr>
          <w:p>
            <w:r>
              <w:rPr>
                <w:b/>
                <w:color w:val="1F4E79"/>
                <w:sz w:val="16"/>
              </w:rPr>
              <w:t>Dernier cadre détaillé</w:t>
            </w:r>
          </w:p>
        </w:tc>
      </w:tr>
      <w:tr>
        <w:tc>
          <w:tcPr>
            <w:tcW w:type="dxa" w:w="1512"/>
            <w:vAlign w:val="top"/>
          </w:tcPr>
          <w:p>
            <w:r>
              <w:rPr>
                <w:sz w:val="14"/>
              </w:rPr>
              <w:t>Feuille pliée</w:t>
            </w:r>
          </w:p>
        </w:tc>
        <w:tc>
          <w:tcPr>
            <w:tcW w:type="dxa" w:w="3528"/>
            <w:vAlign w:val="top"/>
          </w:tcPr>
          <w:p>
            <w:r>
              <w:rPr>
                <w:sz w:val="14"/>
              </w:rPr>
              <w:t>Feuille → poids → bureau.</w:t>
            </w:r>
          </w:p>
        </w:tc>
        <w:tc>
          <w:tcPr>
            <w:tcW w:type="dxa" w:w="2952"/>
            <w:vAlign w:val="top"/>
          </w:tcPr>
          <w:p>
            <w:r>
              <w:rPr>
                <w:sz w:val="14"/>
              </w:rPr>
              <w:t>Le bureau révèle la compensation du pli.</w:t>
            </w:r>
          </w:p>
        </w:tc>
        <w:tc>
          <w:tcPr>
            <w:tcW w:type="dxa" w:w="2045"/>
            <w:vAlign w:val="top"/>
          </w:tcPr>
          <w:p>
            <w:r>
              <w:rPr>
                <w:b w:val="0"/>
                <w:sz w:val="14"/>
              </w:rPr>
              <w:t>Bureau détaillé ; planète terminale.</w:t>
            </w:r>
          </w:p>
        </w:tc>
      </w:tr>
      <w:tr>
        <w:tc>
          <w:tcPr>
            <w:tcW w:type="dxa" w:w="1512"/>
            <w:vAlign w:val="top"/>
          </w:tcPr>
          <w:p>
            <w:r>
              <w:rPr>
                <w:sz w:val="14"/>
              </w:rPr>
              <w:t>Tabouret</w:t>
            </w:r>
          </w:p>
        </w:tc>
        <w:tc>
          <w:tcPr>
            <w:tcW w:type="dxa" w:w="3528"/>
            <w:vAlign w:val="top"/>
          </w:tcPr>
          <w:p>
            <w:r>
              <w:rPr>
                <w:sz w:val="14"/>
              </w:rPr>
              <w:t>Pied → tabouret → sol → utilisateur.</w:t>
            </w:r>
          </w:p>
        </w:tc>
        <w:tc>
          <w:tcPr>
            <w:tcW w:type="dxa" w:w="2952"/>
            <w:vAlign w:val="top"/>
          </w:tcPr>
          <w:p>
            <w:r>
              <w:rPr>
                <w:sz w:val="14"/>
              </w:rPr>
              <w:t>Le sol et l’utilisateur révèlent cale, instabilité ou effort.</w:t>
            </w:r>
          </w:p>
        </w:tc>
        <w:tc>
          <w:tcPr>
            <w:tcW w:type="dxa" w:w="2045"/>
            <w:vAlign w:val="top"/>
          </w:tcPr>
          <w:p>
            <w:r>
              <w:rPr>
                <w:b w:val="0"/>
                <w:sz w:val="14"/>
              </w:rPr>
              <w:t>Utilisateur détaillé ; planète terminale.</w:t>
            </w:r>
          </w:p>
        </w:tc>
      </w:tr>
      <w:tr>
        <w:tc>
          <w:tcPr>
            <w:tcW w:type="dxa" w:w="1512"/>
            <w:vAlign w:val="top"/>
          </w:tcPr>
          <w:p>
            <w:r>
              <w:rPr>
                <w:sz w:val="14"/>
              </w:rPr>
              <w:t>Roulement</w:t>
            </w:r>
          </w:p>
        </w:tc>
        <w:tc>
          <w:tcPr>
            <w:tcW w:type="dxa" w:w="3528"/>
            <w:vAlign w:val="top"/>
          </w:tcPr>
          <w:p>
            <w:r>
              <w:rPr>
                <w:sz w:val="14"/>
              </w:rPr>
              <w:t>Bille → voisines → pistes → machine.</w:t>
            </w:r>
          </w:p>
        </w:tc>
        <w:tc>
          <w:tcPr>
            <w:tcW w:type="dxa" w:w="2952"/>
            <w:vAlign w:val="top"/>
          </w:tcPr>
          <w:p>
            <w:r>
              <w:rPr>
                <w:sz w:val="14"/>
              </w:rPr>
              <w:t>Charge redistribuée, frottement et fonction globale.</w:t>
            </w:r>
          </w:p>
        </w:tc>
        <w:tc>
          <w:tcPr>
            <w:tcW w:type="dxa" w:w="2045"/>
            <w:vAlign w:val="top"/>
          </w:tcPr>
          <w:p>
            <w:r>
              <w:rPr>
                <w:b w:val="0"/>
                <w:sz w:val="14"/>
              </w:rPr>
              <w:t>Machine détaillée ; planète terminale.</w:t>
            </w:r>
          </w:p>
        </w:tc>
      </w:tr>
      <w:tr>
        <w:tc>
          <w:tcPr>
            <w:tcW w:type="dxa" w:w="1512"/>
            <w:vAlign w:val="top"/>
          </w:tcPr>
          <w:p>
            <w:r>
              <w:rPr>
                <w:sz w:val="14"/>
              </w:rPr>
              <w:t>Fuite d’eau</w:t>
            </w:r>
          </w:p>
        </w:tc>
        <w:tc>
          <w:tcPr>
            <w:tcW w:type="dxa" w:w="3528"/>
            <w:vAlign w:val="top"/>
          </w:tcPr>
          <w:p>
            <w:r>
              <w:rPr>
                <w:sz w:val="14"/>
              </w:rPr>
              <w:t>Tuyau → maison → réseau d’eau.</w:t>
            </w:r>
          </w:p>
        </w:tc>
        <w:tc>
          <w:tcPr>
            <w:tcW w:type="dxa" w:w="2952"/>
            <w:vAlign w:val="top"/>
          </w:tcPr>
          <w:p>
            <w:r>
              <w:rPr>
                <w:sz w:val="14"/>
              </w:rPr>
              <w:t>Pompage, dégâts contenus puis prélèvement extérieur.</w:t>
            </w:r>
          </w:p>
        </w:tc>
        <w:tc>
          <w:tcPr>
            <w:tcW w:type="dxa" w:w="2045"/>
            <w:vAlign w:val="top"/>
          </w:tcPr>
          <w:p>
            <w:r>
              <w:rPr>
                <w:b w:val="0"/>
                <w:sz w:val="14"/>
              </w:rPr>
              <w:t>Réseau d’eau détaillé ; planète terminale.</w:t>
            </w:r>
          </w:p>
        </w:tc>
      </w:tr>
      <w:tr>
        <w:tc>
          <w:tcPr>
            <w:tcW w:type="dxa" w:w="1512"/>
            <w:vAlign w:val="top"/>
          </w:tcPr>
          <w:p>
            <w:r>
              <w:rPr>
                <w:sz w:val="14"/>
              </w:rPr>
              <w:t>Joint de fenêtre</w:t>
            </w:r>
          </w:p>
        </w:tc>
        <w:tc>
          <w:tcPr>
            <w:tcW w:type="dxa" w:w="3528"/>
            <w:vAlign w:val="top"/>
          </w:tcPr>
          <w:p>
            <w:r>
              <w:rPr>
                <w:sz w:val="14"/>
              </w:rPr>
              <w:t>Joint → pièce → maison → réseau électrique.</w:t>
            </w:r>
          </w:p>
        </w:tc>
        <w:tc>
          <w:tcPr>
            <w:tcW w:type="dxa" w:w="2952"/>
            <w:vAlign w:val="top"/>
          </w:tcPr>
          <w:p>
            <w:r>
              <w:rPr>
                <w:sz w:val="14"/>
              </w:rPr>
              <w:t>Chauffage supplémentaire puis demande extérieure.</w:t>
            </w:r>
          </w:p>
        </w:tc>
        <w:tc>
          <w:tcPr>
            <w:tcW w:type="dxa" w:w="2045"/>
            <w:vAlign w:val="top"/>
          </w:tcPr>
          <w:p>
            <w:r>
              <w:rPr>
                <w:b w:val="0"/>
                <w:sz w:val="14"/>
              </w:rPr>
              <w:t>Réseau électrique détaillé ; planète terminale.</w:t>
            </w:r>
          </w:p>
        </w:tc>
      </w:tr>
      <w:tr>
        <w:tc>
          <w:tcPr>
            <w:tcW w:type="dxa" w:w="1512"/>
            <w:vAlign w:val="top"/>
          </w:tcPr>
          <w:p>
            <w:r>
              <w:rPr>
                <w:sz w:val="14"/>
              </w:rPr>
              <w:t>Disque dégradé</w:t>
            </w:r>
          </w:p>
        </w:tc>
        <w:tc>
          <w:tcPr>
            <w:tcW w:type="dxa" w:w="3528"/>
            <w:vAlign w:val="top"/>
          </w:tcPr>
          <w:p>
            <w:r>
              <w:rPr>
                <w:sz w:val="14"/>
              </w:rPr>
              <w:t>Disque → serveur → service → utilisateurs.</w:t>
            </w:r>
          </w:p>
        </w:tc>
        <w:tc>
          <w:tcPr>
            <w:tcW w:type="dxa" w:w="2952"/>
            <w:vAlign w:val="top"/>
          </w:tcPr>
          <w:p>
            <w:r>
              <w:rPr>
                <w:sz w:val="14"/>
              </w:rPr>
              <w:t>Reconstruction, charge du service et perte d’usage éventuelle.</w:t>
            </w:r>
          </w:p>
        </w:tc>
        <w:tc>
          <w:tcPr>
            <w:tcW w:type="dxa" w:w="2045"/>
            <w:vAlign w:val="top"/>
          </w:tcPr>
          <w:p>
            <w:r>
              <w:rPr>
                <w:b w:val="0"/>
                <w:sz w:val="14"/>
              </w:rPr>
              <w:t>Utilisateurs détaillés ; planète terminale.</w:t>
            </w:r>
          </w:p>
        </w:tc>
      </w:tr>
    </w:tbl>
    <w:p>
      <w:pPr>
        <w:spacing w:before="140" w:after="60"/>
      </w:pPr>
      <w:r>
        <w:rPr>
          <w:b/>
          <w:color w:val="2F7DBE"/>
          <w:sz w:val="24"/>
        </w:rPr>
        <w:t>41.2 Ce qui affine réellement la dette</w:t>
      </w:r>
    </w:p>
    <w:p>
      <w:pPr>
        <w:pStyle w:val="ListBullet"/>
        <w:spacing w:after="20"/>
      </w:pPr>
      <w:r>
        <w:rPr>
          <w:b w:val="0"/>
          <w:sz w:val="18"/>
        </w:rPr>
        <w:t>Profondeur résolue : cadres causalement actifs explicitement décrits entre l’objet local et la planète ; leur nombre seul n’est pas une mesure de finesse.</w:t>
      </w:r>
    </w:p>
    <w:p>
      <w:pPr>
        <w:pStyle w:val="ListBullet"/>
        <w:spacing w:after="20"/>
      </w:pPr>
      <w:r>
        <w:rPr>
          <w:sz w:val="18"/>
        </w:rPr>
        <w:t>Résolution locale : qualité des proxys dans chacun de ces cadres.</w:t>
      </w:r>
    </w:p>
    <w:p>
      <w:pPr>
        <w:pStyle w:val="ListBullet"/>
        <w:spacing w:after="20"/>
      </w:pPr>
      <w:r>
        <w:rPr>
          <w:sz w:val="18"/>
        </w:rPr>
        <w:t>Couverture relationnelle : objets voisins et interactions causales réellement observés.</w:t>
      </w:r>
    </w:p>
    <w:p>
      <w:pPr>
        <w:pStyle w:val="ListBullet"/>
        <w:spacing w:after="20"/>
      </w:pPr>
      <w:r>
        <w:rPr>
          <w:sz w:val="18"/>
        </w:rPr>
        <w:t>Horizon temporel : durée pendant laquelle une propagation retardée peut encore apparaître.</w:t>
      </w:r>
    </w:p>
    <w:p>
      <w:pPr>
        <w:pStyle w:val="ListBullet"/>
        <w:spacing w:after="20"/>
      </w:pPr>
      <w:r>
        <w:rPr>
          <w:b w:val="0"/>
          <w:sz w:val="18"/>
        </w:rPr>
        <w:t>La finesse augmente seulement si un cadre réel ajouté change le verdict ou réduit une incertitude avec des proxys de qualité ; les effets causaux non résolus restent agrégés ou NON_MESURÉS.</w:t>
      </w:r>
    </w:p>
    <w:p>
      <w:pPr>
        <w:spacing w:before="140" w:after="60"/>
      </w:pPr>
      <w:r>
        <w:rPr>
          <w:b/>
          <w:color w:val="2F7DBE"/>
          <w:sz w:val="24"/>
        </w:rPr>
        <w:t>41.3 Chaîne continue et résolution choisie</w:t>
      </w:r>
    </w:p>
    <w:p>
      <w:pPr>
        <w:pStyle w:val="ListBullet"/>
        <w:spacing w:after="20"/>
      </w:pPr>
      <w:r>
        <w:rPr>
          <w:sz w:val="18"/>
        </w:rPr>
        <w:t>Ouvrir le cadre supérieur si un effet causal franchit la frontière locale et modifie compensation, dommage, marge ou durée de retour.</w:t>
      </w:r>
    </w:p>
    <w:p>
      <w:pPr>
        <w:pStyle w:val="ListBullet"/>
        <w:spacing w:after="20"/>
      </w:pPr>
      <w:r>
        <w:rPr>
          <w:sz w:val="18"/>
        </w:rPr>
        <w:t>Conserver séparément le résidu d’origine, la compensation appliquée dans chaque cadre et tout nouvel écart induit ; ne jamais recompter le même effet.</w:t>
      </w:r>
    </w:p>
    <w:p>
      <w:pPr>
        <w:pStyle w:val="ListBullet"/>
        <w:spacing w:after="20"/>
      </w:pPr>
      <w:r>
        <w:rPr>
          <w:b w:val="0"/>
          <w:sz w:val="18"/>
        </w:rPr>
        <w:t>Ne jamais arrêter l’audit avant la planète ; pour prédire, détailler seulement le noyau de cadres causalement suffisant à la résolution visée.</w:t>
      </w:r>
    </w:p>
    <w:p>
      <w:pPr>
        <w:pStyle w:val="ListBullet"/>
        <w:spacing w:after="20"/>
      </w:pPr>
      <w:r>
        <w:rPr>
          <w:b w:val="0"/>
          <w:sz w:val="18"/>
        </w:rPr>
        <w:t>Tout cadre causalement actif non résolu réduit la granularité ; un cadre non discriminant peut être omis du noyau prédictif. La planète demeure le terminal d’audit obligatoire.</w:t>
      </w:r>
    </w:p>
    <w:p>
      <w:pPr>
        <w:spacing w:before="140" w:after="60"/>
      </w:pPr>
      <w:r>
        <w:rPr>
          <w:b/>
          <w:color w:val="2F7DBE"/>
          <w:sz w:val="24"/>
        </w:rPr>
        <w:t>41.4 Conséquence sur la définition</w:t>
      </w:r>
    </w:p>
    <w:p>
      <w:pPr>
        <w:pStyle w:val="ListBullet"/>
        <w:spacing w:after="20"/>
      </w:pPr>
      <w:r>
        <w:rPr>
          <w:sz w:val="18"/>
        </w:rPr>
        <w:t>Les cadres supérieurs complètent le profil causal de la dette ; ils ne doivent pas modifier arbitrairement la dette locale déjà définie.</w:t>
      </w:r>
    </w:p>
    <w:p>
      <w:pPr>
        <w:pStyle w:val="ListBullet"/>
        <w:spacing w:after="20"/>
      </w:pPr>
      <w:r>
        <w:rPr>
          <w:b w:val="0"/>
          <w:sz w:val="18"/>
        </w:rPr>
        <w:t>Une mesure dite complète reste relative à une référence, un seuil et un horizon, mais elle doit toujours déclarer le devenir du résidu dans le cadre planétaire.</w:t>
      </w:r>
    </w:p>
    <w:p>
      <w:pPr>
        <w:pStyle w:val="ListBullet"/>
        <w:spacing w:after="20"/>
      </w:pPr>
      <w:r>
        <w:rPr>
          <w:sz w:val="18"/>
        </w:rPr>
        <w:t>Avant toute agrégation scalaire, la dette reste un profil multicadre afin de préserver les pertes critiques et les unités non comparables.</w:t>
      </w:r>
    </w:p>
    <w:p>
      <w:pPr>
        <w:spacing w:before="140" w:after="60"/>
      </w:pPr>
      <w:r>
        <w:rPr>
          <w:b/>
          <w:color w:val="2F7DBE"/>
          <w:sz w:val="24"/>
        </w:rPr>
        <w:t>41.5 Calcul multicadre obligatoire</w:t>
      </w:r>
    </w:p>
    <w:p>
      <w:pPr>
        <w:pStyle w:val="ListBullet"/>
        <w:spacing w:after="20"/>
      </w:pPr>
      <w:r>
        <w:rPr>
          <w:sz w:val="18"/>
        </w:rPr>
        <w:t>Cadre local : PASS — davantage de précision des proxys affine la dette locale.</w:t>
      </w:r>
    </w:p>
    <w:p>
      <w:pPr>
        <w:pStyle w:val="ListBullet"/>
        <w:spacing w:after="20"/>
      </w:pPr>
      <w:r>
        <w:rPr>
          <w:sz w:val="18"/>
        </w:rPr>
        <w:t>Cadres englobants causalement atteints : PASS conditionnel — chaque niveau peut révéler une composante omise s’il apporte un effet discriminant mesuré.</w:t>
      </w:r>
    </w:p>
    <w:p>
      <w:pPr>
        <w:pStyle w:val="ListBullet"/>
        <w:spacing w:after="20"/>
      </w:pPr>
      <w:r>
        <w:rPr>
          <w:b w:val="0"/>
          <w:sz w:val="18"/>
        </w:rPr>
        <w:t>Cadres intermédiaires non résolus : granularité réduite ; contribution NON_MESURÉE si elle ne peut pas être bornée.</w:t>
      </w:r>
    </w:p>
    <w:p>
      <w:pPr>
        <w:pStyle w:val="ListBullet"/>
        <w:spacing w:after="20"/>
      </w:pPr>
      <w:r>
        <w:rPr>
          <w:b w:val="0"/>
          <w:sz w:val="18"/>
        </w:rPr>
        <w:t>Cadre planétaire : terminal obligatoire dans tous les cas humains terrestres ; PASS, FAIL ou NON_MESURÉ selon le devenir du résidu.</w:t>
      </w:r>
    </w:p>
    <w:p>
      <w:pPr>
        <w:jc w:val="center"/>
      </w:pPr>
      <w:r>
        <w:rPr>
          <w:b/>
          <w:color w:val="1F4E79"/>
          <w:sz w:val="21"/>
        </w:rPr>
        <w:t>S = (β × ΔΦ) / (1 + T + σ) ; S_global = NON_MESURÉ</w:t>
      </w:r>
    </w:p>
    <w:p>
      <w:pPr>
        <w:pageBreakBefore/>
        <w:spacing w:before="140" w:after="60"/>
      </w:pPr>
      <w:r>
        <w:rPr>
          <w:b/>
          <w:color w:val="2F7DBE"/>
          <w:sz w:val="32"/>
        </w:rPr>
        <w:t>SECTION 42 — La planète clôt le compte et compense la dette résiduelle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RÉSULTAT — La planète est le dernier cadre comptable d’une conséquence terrestre persistante. Elle porte son propre écart terminal et peut le compenser fonctionnellement par stockage ou transformation ; dispersion et dilution ne prouvent ni résorption ni disparition.</w:t>
            </w:r>
          </w:p>
        </w:tc>
      </w:tr>
    </w:tbl>
    <w:p>
      <w:pPr>
        <w:spacing w:before="140" w:after="60"/>
      </w:pPr>
      <w:r>
        <w:rPr>
          <w:b/>
          <w:color w:val="2F7DBE"/>
          <w:sz w:val="24"/>
        </w:rPr>
        <w:t>42.1 Test du tire-bouchon en plastique</w:t>
      </w:r>
    </w:p>
    <w:tbl>
      <w:tblPr>
        <w:tblStyle w:val="TableGrid"/>
        <w:tblW w:type="auto" w:w="0"/>
        <w:tblLook w:firstColumn="1" w:firstRow="1" w:lastColumn="0" w:lastRow="0" w:noHBand="0" w:noVBand="1" w:val="04A0"/>
      </w:tblPr>
      <w:tblGrid>
        <w:gridCol w:w="3456"/>
        <w:gridCol w:w="3456"/>
        <w:gridCol w:w="3456"/>
      </w:tblGrid>
      <w:tr>
        <w:tc>
          <w:tcPr>
            <w:tcW w:type="dxa" w:w="2088"/>
            <w:shd w:fill="D9EAF7"/>
          </w:tcPr>
          <w:p>
            <w:r>
              <w:rPr>
                <w:b/>
                <w:color w:val="1F4E79"/>
                <w:sz w:val="16"/>
              </w:rPr>
              <w:t>Fin de trajectoire</w:t>
            </w:r>
          </w:p>
        </w:tc>
        <w:tc>
          <w:tcPr>
            <w:tcW w:type="dxa" w:w="4320"/>
            <w:shd w:fill="D9EAF7"/>
          </w:tcPr>
          <w:p>
            <w:r>
              <w:rPr>
                <w:b/>
                <w:color w:val="1F4E79"/>
                <w:sz w:val="16"/>
              </w:rPr>
              <w:t>Ce qui arrive réellement</w:t>
            </w:r>
          </w:p>
        </w:tc>
        <w:tc>
          <w:tcPr>
            <w:tcW w:type="dxa" w:w="3600"/>
            <w:shd w:fill="D9EAF7"/>
          </w:tcPr>
          <w:p>
            <w:r>
              <w:rPr>
                <w:b/>
                <w:color w:val="1F4E79"/>
                <w:sz w:val="16"/>
              </w:rPr>
              <w:t>Verdict sur la dette</w:t>
            </w:r>
          </w:p>
        </w:tc>
      </w:tr>
      <w:tr>
        <w:tc>
          <w:tcPr>
            <w:tcW w:type="dxa" w:w="2088"/>
            <w:vAlign w:val="top"/>
          </w:tcPr>
          <w:p>
            <w:r>
              <w:rPr>
                <w:sz w:val="15"/>
              </w:rPr>
              <w:t>Réemploi/réparation</w:t>
            </w:r>
          </w:p>
        </w:tc>
        <w:tc>
          <w:tcPr>
            <w:tcW w:type="dxa" w:w="4320"/>
            <w:vAlign w:val="top"/>
          </w:tcPr>
          <w:p>
            <w:r>
              <w:rPr>
                <w:sz w:val="15"/>
              </w:rPr>
              <w:t>La fonction est restaurée ; la matière reste en circulation.</w:t>
            </w:r>
          </w:p>
        </w:tc>
        <w:tc>
          <w:tcPr>
            <w:tcW w:type="dxa" w:w="3600"/>
            <w:vAlign w:val="top"/>
          </w:tcPr>
          <w:p>
            <w:r>
              <w:rPr>
                <w:sz w:val="15"/>
              </w:rPr>
              <w:t>Dette fonctionnelle possiblement résorbée ; fin matérielle non close.</w:t>
            </w:r>
          </w:p>
        </w:tc>
      </w:tr>
      <w:tr>
        <w:tc>
          <w:tcPr>
            <w:tcW w:type="dxa" w:w="2088"/>
            <w:vAlign w:val="top"/>
          </w:tcPr>
          <w:p>
            <w:r>
              <w:rPr>
                <w:sz w:val="15"/>
              </w:rPr>
              <w:t>Recyclage</w:t>
            </w:r>
          </w:p>
        </w:tc>
        <w:tc>
          <w:tcPr>
            <w:tcW w:type="dxa" w:w="4320"/>
            <w:vAlign w:val="top"/>
          </w:tcPr>
          <w:p>
            <w:r>
              <w:rPr>
                <w:sz w:val="15"/>
              </w:rPr>
              <w:t>La matière est transformée avec énergie, pertes et rejets.</w:t>
            </w:r>
          </w:p>
        </w:tc>
        <w:tc>
          <w:tcPr>
            <w:tcW w:type="dxa" w:w="3600"/>
            <w:vAlign w:val="top"/>
          </w:tcPr>
          <w:p>
            <w:r>
              <w:rPr>
                <w:sz w:val="15"/>
              </w:rPr>
              <w:t>Compensation et résorption à démontrer pour tous les résidus.</w:t>
            </w:r>
          </w:p>
        </w:tc>
      </w:tr>
      <w:tr>
        <w:tc>
          <w:tcPr>
            <w:tcW w:type="dxa" w:w="2088"/>
            <w:vAlign w:val="top"/>
          </w:tcPr>
          <w:p>
            <w:r>
              <w:rPr>
                <w:sz w:val="15"/>
              </w:rPr>
              <w:t>Enfouissement</w:t>
            </w:r>
          </w:p>
        </w:tc>
        <w:tc>
          <w:tcPr>
            <w:tcW w:type="dxa" w:w="4320"/>
            <w:vAlign w:val="top"/>
          </w:tcPr>
          <w:p>
            <w:r>
              <w:rPr>
                <w:sz w:val="15"/>
              </w:rPr>
              <w:t>L’objet est stocké dans le sol ou une installation.</w:t>
            </w:r>
          </w:p>
        </w:tc>
        <w:tc>
          <w:tcPr>
            <w:tcW w:type="dxa" w:w="3600"/>
            <w:vAlign w:val="top"/>
          </w:tcPr>
          <w:p>
            <w:r>
              <w:rPr>
                <w:sz w:val="15"/>
              </w:rPr>
              <w:t>Dette déplacée dans le temps ; non résorbée par principe.</w:t>
            </w:r>
          </w:p>
        </w:tc>
      </w:tr>
      <w:tr>
        <w:tc>
          <w:tcPr>
            <w:tcW w:type="dxa" w:w="2088"/>
            <w:vAlign w:val="top"/>
          </w:tcPr>
          <w:p>
            <w:r>
              <w:rPr>
                <w:sz w:val="15"/>
              </w:rPr>
              <w:t>Incinération</w:t>
            </w:r>
          </w:p>
        </w:tc>
        <w:tc>
          <w:tcPr>
            <w:tcW w:type="dxa" w:w="4320"/>
            <w:vAlign w:val="top"/>
          </w:tcPr>
          <w:p>
            <w:r>
              <w:rPr>
                <w:sz w:val="15"/>
              </w:rPr>
              <w:t>L’objet devient chaleur, gaz, particules et cendres.</w:t>
            </w:r>
          </w:p>
        </w:tc>
        <w:tc>
          <w:tcPr>
            <w:tcW w:type="dxa" w:w="3600"/>
            <w:vAlign w:val="top"/>
          </w:tcPr>
          <w:p>
            <w:r>
              <w:rPr>
                <w:sz w:val="15"/>
              </w:rPr>
              <w:t>Transformation ; résidus planétaires à mesurer.</w:t>
            </w:r>
          </w:p>
        </w:tc>
      </w:tr>
      <w:tr>
        <w:tc>
          <w:tcPr>
            <w:tcW w:type="dxa" w:w="2088"/>
            <w:vAlign w:val="top"/>
          </w:tcPr>
          <w:p>
            <w:r>
              <w:rPr>
                <w:sz w:val="15"/>
              </w:rPr>
              <w:t>Abandon</w:t>
            </w:r>
          </w:p>
        </w:tc>
        <w:tc>
          <w:tcPr>
            <w:tcW w:type="dxa" w:w="4320"/>
            <w:vAlign w:val="top"/>
          </w:tcPr>
          <w:p>
            <w:r>
              <w:rPr>
                <w:sz w:val="15"/>
              </w:rPr>
              <w:t>L’objet s’use et peut se fragmenter ou se disperser.</w:t>
            </w:r>
          </w:p>
        </w:tc>
        <w:tc>
          <w:tcPr>
            <w:tcW w:type="dxa" w:w="3600"/>
            <w:vAlign w:val="top"/>
          </w:tcPr>
          <w:p>
            <w:r>
              <w:rPr>
                <w:sz w:val="15"/>
              </w:rPr>
              <w:t>Persistance ou diffusion ; résorption non démontrée.</w:t>
            </w:r>
          </w:p>
        </w:tc>
      </w:tr>
    </w:tbl>
    <w:p>
      <w:pPr>
        <w:spacing w:before="140" w:after="60"/>
      </w:pPr>
      <w:r>
        <w:rPr>
          <w:b/>
          <w:color w:val="2F7DBE"/>
          <w:sz w:val="24"/>
        </w:rPr>
        <w:t>42.2 Définition terminale corrigée</w:t>
      </w:r>
    </w:p>
    <w:p>
      <w:pPr>
        <w:pStyle w:val="ListBullet"/>
        <w:spacing w:after="20"/>
      </w:pPr>
      <w:r>
        <w:rPr>
          <w:b w:val="0"/>
          <w:sz w:val="18"/>
        </w:rPr>
        <w:t>La chaîne d’un objet et d’une trajectoire terrestres ne s’arrête jamais avant la planète, dernier cadre opérationnel humain.</w:t>
      </w:r>
    </w:p>
    <w:p>
      <w:pPr>
        <w:pStyle w:val="ListBullet"/>
        <w:spacing w:after="20"/>
      </w:pPr>
      <w:r>
        <w:rPr>
          <w:sz w:val="18"/>
        </w:rPr>
        <w:t>Disparition de l’objet identifiable ne signifie pas disparition de ses matières, de son énergie ni de ses effets.</w:t>
      </w:r>
    </w:p>
    <w:p>
      <w:pPr>
        <w:pStyle w:val="ListBullet"/>
        <w:spacing w:after="20"/>
      </w:pPr>
      <w:r>
        <w:rPr>
          <w:sz w:val="18"/>
        </w:rPr>
        <w:t>Résorption fonctionnelle : aucun résidu excédentaire ne requiert encore de compensation planétaire supplémentaire dans l’horizon déclaré.</w:t>
      </w:r>
    </w:p>
    <w:p>
      <w:pPr>
        <w:pStyle w:val="ListBullet"/>
        <w:spacing w:after="20"/>
      </w:pPr>
      <w:r>
        <w:rPr>
          <w:sz w:val="18"/>
        </w:rPr>
        <w:t>Stockage, transformation ou dispersion : la forme de la dette change ; sa compensation et sa résorption éventuelle doivent encore être démontrées.</w:t>
      </w:r>
    </w:p>
    <w:p>
      <w:pPr>
        <w:pStyle w:val="ListBullet"/>
        <w:spacing w:after="20"/>
      </w:pPr>
      <w:r>
        <w:rPr>
          <w:b w:val="0"/>
          <w:sz w:val="18"/>
        </w:rPr>
        <w:t>Devenir planétaire absent ou non mesuré : dette terminale = NON_MESURÉE. L’Univers peut constituer le cadre physique ultime, mais il reste hors résolution actuelle.</w:t>
      </w:r>
    </w:p>
    <w:p>
      <w:pPr>
        <w:spacing w:before="140" w:after="60"/>
      </w:pPr>
      <w:r>
        <w:rPr>
          <w:b/>
          <w:color w:val="2F7DBE"/>
          <w:sz w:val="24"/>
        </w:rPr>
        <w:t>42.3 Calcul multicadre obligatoire</w:t>
      </w:r>
    </w:p>
    <w:p>
      <w:pPr>
        <w:pStyle w:val="ListBullet"/>
        <w:spacing w:after="20"/>
      </w:pPr>
      <w:r>
        <w:rPr>
          <w:sz w:val="18"/>
        </w:rPr>
        <w:t>Cadre local du tire-bouchon : PASS pour distinguer fonction, réparation et rupture.</w:t>
      </w:r>
    </w:p>
    <w:p>
      <w:pPr>
        <w:pStyle w:val="ListBullet"/>
        <w:spacing w:after="20"/>
      </w:pPr>
      <w:r>
        <w:rPr>
          <w:sz w:val="18"/>
        </w:rPr>
        <w:t>Cadres de collecte et de traitement : NON_MESURÉ sans trajectoire réelle de fin de vie.</w:t>
      </w:r>
    </w:p>
    <w:p>
      <w:pPr>
        <w:pStyle w:val="ListBullet"/>
        <w:spacing w:after="20"/>
      </w:pPr>
      <w:r>
        <w:rPr>
          <w:sz w:val="18"/>
        </w:rPr>
        <w:t>Cadre planétaire terminal : obligatoire ; compensation et résorption du résidu plastique = NON_MESURÉES dans cet exemple.</w:t>
      </w:r>
    </w:p>
    <w:p>
      <w:pPr>
        <w:pStyle w:val="ListBullet"/>
        <w:spacing w:after="20"/>
      </w:pPr>
      <w:r>
        <w:rPr>
          <w:sz w:val="18"/>
        </w:rPr>
        <w:t>Formulation « la planète élimine » : FAIL terminologique. Formulation corrigée : la planète porte et compense la dette résiduelle.</w:t>
      </w:r>
    </w:p>
    <w:p>
      <w:pPr>
        <w:jc w:val="center"/>
      </w:pPr>
      <w:r>
        <w:rPr>
          <w:b/>
          <w:color w:val="1F4E79"/>
          <w:sz w:val="21"/>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r>
              <w:rPr>
                <w:b/>
                <w:color w:val="C62828"/>
                <w:sz w:val="18"/>
              </w:rPr>
              <w:t>VERROU — La chaîne ne s’arrête jamais avant la planète. Les cadres intermédiaires déterminent la finesse ; la planète clôt le compte humain en portant et compensant le résidu, sans disparition présumée.</w:t>
            </w:r>
          </w:p>
        </w:tc>
      </w:tr>
    </w:tbl>
    <w:p>
      <w:pPr>
        <w:pageBreakBefore/>
        <w:spacing w:before="140" w:after="60"/>
      </w:pPr>
      <w:r>
        <w:rPr>
          <w:b/>
          <w:color w:val="2F7DBE"/>
          <w:sz w:val="32"/>
        </w:rPr>
        <w:t>SECTION 43 — Six devenirs planétaires — persistance n’est pas dette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RÉSULTAT — La persistance matérielle seule ne mesure pas la dette. Elle ne compte que pendant la durée où le résidu impose à la planète une compensation supplémentaire par rapport à son état de référence.</w:t>
            </w:r>
          </w:p>
        </w:tc>
      </w:tr>
    </w:tbl>
    <w:p>
      <w:pPr>
        <w:spacing w:before="140" w:after="60"/>
      </w:pPr>
      <w:r>
        <w:rPr>
          <w:b/>
          <w:color w:val="2F7DBE"/>
          <w:sz w:val="24"/>
        </w:rPr>
        <w:t>43.1 Passage sur six objets très différents</w:t>
      </w:r>
    </w:p>
    <w:tbl>
      <w:tblPr>
        <w:tblStyle w:val="TableGrid"/>
        <w:tblW w:type="auto" w:w="0"/>
        <w:tblLook w:firstColumn="1" w:firstRow="1" w:lastColumn="0" w:lastRow="0" w:noHBand="0" w:noVBand="1" w:val="04A0"/>
      </w:tblPr>
      <w:tblGrid>
        <w:gridCol w:w="2592"/>
        <w:gridCol w:w="2592"/>
        <w:gridCol w:w="2592"/>
        <w:gridCol w:w="2592"/>
      </w:tblGrid>
      <w:tr>
        <w:tc>
          <w:tcPr>
            <w:tcW w:type="dxa" w:w="1512"/>
            <w:shd w:fill="D9EAF7"/>
          </w:tcPr>
          <w:p>
            <w:r>
              <w:rPr>
                <w:b/>
                <w:color w:val="1F4E79"/>
                <w:sz w:val="16"/>
              </w:rPr>
              <w:t>Objet</w:t>
            </w:r>
          </w:p>
        </w:tc>
        <w:tc>
          <w:tcPr>
            <w:tcW w:type="dxa" w:w="3096"/>
            <w:shd w:fill="D9EAF7"/>
          </w:tcPr>
          <w:p>
            <w:r>
              <w:rPr>
                <w:b/>
                <w:color w:val="1F4E79"/>
                <w:sz w:val="16"/>
              </w:rPr>
              <w:t>Devenir possible</w:t>
            </w:r>
          </w:p>
        </w:tc>
        <w:tc>
          <w:tcPr>
            <w:tcW w:type="dxa" w:w="3384"/>
            <w:shd w:fill="D9EAF7"/>
          </w:tcPr>
          <w:p>
            <w:r>
              <w:rPr>
                <w:b/>
                <w:color w:val="1F4E79"/>
                <w:sz w:val="16"/>
              </w:rPr>
              <w:t>Question planétaire</w:t>
            </w:r>
          </w:p>
        </w:tc>
        <w:tc>
          <w:tcPr>
            <w:tcW w:type="dxa" w:w="2045"/>
            <w:shd w:fill="D9EAF7"/>
          </w:tcPr>
          <w:p>
            <w:r>
              <w:rPr>
                <w:b/>
                <w:color w:val="1F4E79"/>
                <w:sz w:val="16"/>
              </w:rPr>
              <w:t>Verdict intuitif</w:t>
            </w:r>
          </w:p>
        </w:tc>
      </w:tr>
      <w:tr>
        <w:tc>
          <w:tcPr>
            <w:tcW w:type="dxa" w:w="1512"/>
            <w:vAlign w:val="top"/>
          </w:tcPr>
          <w:p>
            <w:r>
              <w:rPr>
                <w:sz w:val="14"/>
              </w:rPr>
              <w:t>Feuille de papier</w:t>
            </w:r>
          </w:p>
        </w:tc>
        <w:tc>
          <w:tcPr>
            <w:tcW w:type="dxa" w:w="3096"/>
            <w:vAlign w:val="top"/>
          </w:tcPr>
          <w:p>
            <w:r>
              <w:rPr>
                <w:sz w:val="14"/>
              </w:rPr>
              <w:t>Réemploi, recyclage, décomposition ou combustion.</w:t>
            </w:r>
          </w:p>
        </w:tc>
        <w:tc>
          <w:tcPr>
            <w:tcW w:type="dxa" w:w="3384"/>
            <w:vAlign w:val="top"/>
          </w:tcPr>
          <w:p>
            <w:r>
              <w:rPr>
                <w:sz w:val="14"/>
              </w:rPr>
              <w:t>Reste-t-il un résidu ou une compensation au-delà du cycle normal ?</w:t>
            </w:r>
          </w:p>
        </w:tc>
        <w:tc>
          <w:tcPr>
            <w:tcW w:type="dxa" w:w="2045"/>
            <w:vAlign w:val="top"/>
          </w:tcPr>
          <w:p>
            <w:r>
              <w:rPr>
                <w:sz w:val="14"/>
              </w:rPr>
              <w:t>Durée courte possible ; dette non déduite de la durée.</w:t>
            </w:r>
          </w:p>
        </w:tc>
      </w:tr>
      <w:tr>
        <w:tc>
          <w:tcPr>
            <w:tcW w:type="dxa" w:w="1512"/>
            <w:vAlign w:val="top"/>
          </w:tcPr>
          <w:p>
            <w:r>
              <w:rPr>
                <w:b w:val="0"/>
                <w:sz w:val="14"/>
              </w:rPr>
              <w:t>Verre naturel ou fabriqué</w:t>
            </w:r>
          </w:p>
        </w:tc>
        <w:tc>
          <w:tcPr>
            <w:tcW w:type="dxa" w:w="3096"/>
            <w:vAlign w:val="top"/>
          </w:tcPr>
          <w:p>
            <w:r>
              <w:rPr>
                <w:b w:val="0"/>
                <w:sz w:val="14"/>
              </w:rPr>
              <w:t>Présence naturelle, réemploi, recyclage, stockage ou fragmentation.</w:t>
            </w:r>
          </w:p>
        </w:tc>
        <w:tc>
          <w:tcPr>
            <w:tcW w:type="dxa" w:w="3384"/>
            <w:vAlign w:val="top"/>
          </w:tcPr>
          <w:p>
            <w:r>
              <w:rPr>
                <w:b w:val="0"/>
                <w:sz w:val="14"/>
              </w:rPr>
              <w:t>La forme, la quantité, la concentration ou la localisation ajoutée imposent-elles une compensation ?</w:t>
            </w:r>
          </w:p>
        </w:tc>
        <w:tc>
          <w:tcPr>
            <w:tcW w:type="dxa" w:w="2045"/>
            <w:vAlign w:val="top"/>
          </w:tcPr>
          <w:p>
            <w:r>
              <w:rPr>
                <w:b w:val="0"/>
                <w:sz w:val="14"/>
              </w:rPr>
              <w:t>Verre naturel : aucune dette démontrée. Écart humain : à mesurer.</w:t>
            </w:r>
          </w:p>
        </w:tc>
      </w:tr>
      <w:tr>
        <w:tc>
          <w:tcPr>
            <w:tcW w:type="dxa" w:w="1512"/>
            <w:vAlign w:val="top"/>
          </w:tcPr>
          <w:p>
            <w:r>
              <w:rPr>
                <w:sz w:val="14"/>
              </w:rPr>
              <w:t>Bille d’acier</w:t>
            </w:r>
          </w:p>
        </w:tc>
        <w:tc>
          <w:tcPr>
            <w:tcW w:type="dxa" w:w="3096"/>
            <w:vAlign w:val="top"/>
          </w:tcPr>
          <w:p>
            <w:r>
              <w:rPr>
                <w:sz w:val="14"/>
              </w:rPr>
              <w:t>Réemploi, récupération, corrosion ou stockage.</w:t>
            </w:r>
          </w:p>
        </w:tc>
        <w:tc>
          <w:tcPr>
            <w:tcW w:type="dxa" w:w="3384"/>
            <w:vAlign w:val="top"/>
          </w:tcPr>
          <w:p>
            <w:r>
              <w:rPr>
                <w:sz w:val="14"/>
              </w:rPr>
              <w:t>L’acier devient-il ressource, résidu inerte ou charge à compenser ?</w:t>
            </w:r>
          </w:p>
        </w:tc>
        <w:tc>
          <w:tcPr>
            <w:tcW w:type="dxa" w:w="2045"/>
            <w:vAlign w:val="top"/>
          </w:tcPr>
          <w:p>
            <w:r>
              <w:rPr>
                <w:sz w:val="14"/>
              </w:rPr>
              <w:t>Matière durable ; dette dépend du devenir.</w:t>
            </w:r>
          </w:p>
        </w:tc>
      </w:tr>
      <w:tr>
        <w:tc>
          <w:tcPr>
            <w:tcW w:type="dxa" w:w="1512"/>
            <w:vAlign w:val="top"/>
          </w:tcPr>
          <w:p>
            <w:r>
              <w:rPr>
                <w:sz w:val="14"/>
              </w:rPr>
              <w:t>Élastique</w:t>
            </w:r>
          </w:p>
        </w:tc>
        <w:tc>
          <w:tcPr>
            <w:tcW w:type="dxa" w:w="3096"/>
            <w:vAlign w:val="top"/>
          </w:tcPr>
          <w:p>
            <w:r>
              <w:rPr>
                <w:sz w:val="14"/>
              </w:rPr>
              <w:t>Réemploi limité, combustion, stockage ou fragmentation.</w:t>
            </w:r>
          </w:p>
        </w:tc>
        <w:tc>
          <w:tcPr>
            <w:tcW w:type="dxa" w:w="3384"/>
            <w:vAlign w:val="top"/>
          </w:tcPr>
          <w:p>
            <w:r>
              <w:rPr>
                <w:sz w:val="14"/>
              </w:rPr>
              <w:t>Les fragments ou rejets exigent-ils encore une compensation ?</w:t>
            </w:r>
          </w:p>
        </w:tc>
        <w:tc>
          <w:tcPr>
            <w:tcW w:type="dxa" w:w="2045"/>
            <w:vAlign w:val="top"/>
          </w:tcPr>
          <w:p>
            <w:r>
              <w:rPr>
                <w:sz w:val="14"/>
              </w:rPr>
              <w:t>Persistance utile seulement avec effet excédentaire.</w:t>
            </w:r>
          </w:p>
        </w:tc>
      </w:tr>
      <w:tr>
        <w:tc>
          <w:tcPr>
            <w:tcW w:type="dxa" w:w="1512"/>
            <w:vAlign w:val="top"/>
          </w:tcPr>
          <w:p>
            <w:r>
              <w:rPr>
                <w:sz w:val="14"/>
              </w:rPr>
              <w:t>Aimant</w:t>
            </w:r>
          </w:p>
        </w:tc>
        <w:tc>
          <w:tcPr>
            <w:tcW w:type="dxa" w:w="3096"/>
            <w:vAlign w:val="top"/>
          </w:tcPr>
          <w:p>
            <w:r>
              <w:rPr>
                <w:sz w:val="14"/>
              </w:rPr>
              <w:t>Réemploi, récupération des métaux ou dispersion.</w:t>
            </w:r>
          </w:p>
        </w:tc>
        <w:tc>
          <w:tcPr>
            <w:tcW w:type="dxa" w:w="3384"/>
            <w:vAlign w:val="top"/>
          </w:tcPr>
          <w:p>
            <w:r>
              <w:rPr>
                <w:sz w:val="14"/>
              </w:rPr>
              <w:t>La récupération évite-t-elle une charge ou crée-t-elle d’autres résidus ?</w:t>
            </w:r>
          </w:p>
        </w:tc>
        <w:tc>
          <w:tcPr>
            <w:tcW w:type="dxa" w:w="2045"/>
            <w:vAlign w:val="top"/>
          </w:tcPr>
          <w:p>
            <w:r>
              <w:rPr>
                <w:sz w:val="14"/>
              </w:rPr>
              <w:t>Profil multiple ; temps seul insuffisant.</w:t>
            </w:r>
          </w:p>
        </w:tc>
      </w:tr>
      <w:tr>
        <w:tc>
          <w:tcPr>
            <w:tcW w:type="dxa" w:w="1512"/>
            <w:vAlign w:val="top"/>
          </w:tcPr>
          <w:p>
            <w:r>
              <w:rPr>
                <w:sz w:val="14"/>
              </w:rPr>
              <w:t>Tire-bouchon plastique</w:t>
            </w:r>
          </w:p>
        </w:tc>
        <w:tc>
          <w:tcPr>
            <w:tcW w:type="dxa" w:w="3096"/>
            <w:vAlign w:val="top"/>
          </w:tcPr>
          <w:p>
            <w:r>
              <w:rPr>
                <w:sz w:val="14"/>
              </w:rPr>
              <w:t>Réemploi, recyclage, enfouissement, incinération ou abandon.</w:t>
            </w:r>
          </w:p>
        </w:tc>
        <w:tc>
          <w:tcPr>
            <w:tcW w:type="dxa" w:w="3384"/>
            <w:vAlign w:val="top"/>
          </w:tcPr>
          <w:p>
            <w:r>
              <w:rPr>
                <w:sz w:val="14"/>
              </w:rPr>
              <w:t>Que reste-t-il à compenser après chaque transformation ?</w:t>
            </w:r>
          </w:p>
        </w:tc>
        <w:tc>
          <w:tcPr>
            <w:tcW w:type="dxa" w:w="2045"/>
            <w:vAlign w:val="top"/>
          </w:tcPr>
          <w:p>
            <w:r>
              <w:rPr>
                <w:sz w:val="14"/>
              </w:rPr>
              <w:t>Dette terminale NON_MESURÉE sans trajectoire réelle.</w:t>
            </w:r>
          </w:p>
        </w:tc>
      </w:tr>
    </w:tbl>
    <w:p>
      <w:pPr>
        <w:spacing w:before="140" w:after="60"/>
      </w:pPr>
      <w:r>
        <w:rPr>
          <w:b/>
          <w:color w:val="2F7DBE"/>
          <w:sz w:val="24"/>
        </w:rPr>
        <w:t>43.2 Contre-exemple décisif</w:t>
      </w:r>
    </w:p>
    <w:p>
      <w:pPr>
        <w:pStyle w:val="ListBullet"/>
        <w:spacing w:after="20"/>
      </w:pPr>
      <w:r>
        <w:rPr>
          <w:b w:val="0"/>
          <w:sz w:val="18"/>
        </w:rPr>
        <w:t>Le verre existe naturellement, notamment sous forme de verre volcanique : sa présence et sa persistance ne constituent donc pas une dette par elles-mêmes.</w:t>
      </w:r>
    </w:p>
    <w:p>
      <w:pPr>
        <w:pStyle w:val="ListBullet"/>
        <w:spacing w:after="20"/>
      </w:pPr>
      <w:r>
        <w:rPr>
          <w:b w:val="0"/>
          <w:sz w:val="18"/>
        </w:rPr>
        <w:t>Un tesson fabriqué ou déplacé peut néanmoins créer une dette par sa forme, sa quantité, sa concentration ou sa localisation, si une compensation supplémentaire devient nécessaire.</w:t>
      </w:r>
    </w:p>
    <w:p>
      <w:pPr>
        <w:pStyle w:val="ListBullet"/>
        <w:spacing w:after="20"/>
      </w:pPr>
      <w:r>
        <w:rPr>
          <w:b w:val="0"/>
          <w:sz w:val="18"/>
        </w:rPr>
        <w:t>Il faut mesurer l’écart ajouté au référentiel planétaire, pas l’existence de la matière elle-même ni son seul temps de présence.</w:t>
      </w:r>
    </w:p>
    <w:p>
      <w:pPr>
        <w:spacing w:before="140" w:after="60"/>
      </w:pPr>
      <w:r>
        <w:rPr>
          <w:b/>
          <w:color w:val="2F7DBE"/>
          <w:sz w:val="24"/>
        </w:rPr>
        <w:t>43.3 Profil terminal minimal</w:t>
      </w:r>
    </w:p>
    <w:p>
      <w:pPr>
        <w:pStyle w:val="ListBullet"/>
        <w:spacing w:after="20"/>
      </w:pPr>
      <w:r>
        <w:rPr>
          <w:b w:val="0"/>
          <w:sz w:val="18"/>
        </w:rPr>
        <w:t>Résidu : écart de forme, quantité, concentration, localisation, énergie ou interaction qui demeure par rapport au référentiel planétaire.</w:t>
      </w:r>
    </w:p>
    <w:p>
      <w:pPr>
        <w:pStyle w:val="ListBullet"/>
        <w:spacing w:after="20"/>
      </w:pPr>
      <w:r>
        <w:rPr>
          <w:sz w:val="18"/>
        </w:rPr>
        <w:t>Compensation excédentaire : ce que le cadre planétaire doit fournir au-delà de son fonctionnement de référence.</w:t>
      </w:r>
    </w:p>
    <w:p>
      <w:pPr>
        <w:pStyle w:val="ListBullet"/>
        <w:spacing w:after="20"/>
      </w:pPr>
      <w:r>
        <w:rPr>
          <w:sz w:val="18"/>
        </w:rPr>
        <w:t>Durée restante : temps pendant lequel cette compensation excédentaire demeure nécessaire.</w:t>
      </w:r>
    </w:p>
    <w:p>
      <w:pPr>
        <w:pStyle w:val="ListBullet"/>
        <w:spacing w:after="20"/>
      </w:pPr>
      <w:r>
        <w:rPr>
          <w:sz w:val="18"/>
        </w:rPr>
        <w:t>Devenir : réintégré, stocké, transformé, dispersé ou exporté à la frontière planétaire.</w:t>
      </w:r>
    </w:p>
    <w:p>
      <w:pPr>
        <w:pStyle w:val="ListBullet"/>
        <w:spacing w:after="20"/>
      </w:pPr>
      <w:r>
        <w:rPr>
          <w:sz w:val="18"/>
        </w:rPr>
        <w:t>Résorption terminale : retour de la compensation planétaire au niveau de référence, sans annihilation de la matière.</w:t>
      </w:r>
    </w:p>
    <w:p>
      <w:pPr>
        <w:spacing w:before="140" w:after="60"/>
      </w:pPr>
      <w:r>
        <w:rPr>
          <w:b/>
          <w:color w:val="2F7DBE"/>
          <w:sz w:val="24"/>
        </w:rPr>
        <w:t>43.4 Calcul multicadre obligatoire</w:t>
      </w:r>
    </w:p>
    <w:p>
      <w:pPr>
        <w:pStyle w:val="ListBullet"/>
        <w:spacing w:after="20"/>
      </w:pPr>
      <w:r>
        <w:rPr>
          <w:sz w:val="18"/>
        </w:rPr>
        <w:t>Six objets : PASS qualitatif pour réfuter l’équivalence persistance = dette.</w:t>
      </w:r>
    </w:p>
    <w:p>
      <w:pPr>
        <w:pStyle w:val="ListBullet"/>
        <w:spacing w:after="20"/>
      </w:pPr>
      <w:r>
        <w:rPr>
          <w:sz w:val="18"/>
        </w:rPr>
        <w:t>Cadres intermédiaires de collecte et de traitement : NON_MESURÉ sans trajectoires réelles.</w:t>
      </w:r>
    </w:p>
    <w:p>
      <w:pPr>
        <w:pStyle w:val="ListBullet"/>
        <w:spacing w:after="20"/>
      </w:pPr>
      <w:r>
        <w:rPr>
          <w:sz w:val="18"/>
        </w:rPr>
        <w:t>Cadre planétaire : terminal obligatoire ; profils et durées réels = NON_MESURÉ.</w:t>
      </w:r>
    </w:p>
    <w:p>
      <w:pPr>
        <w:pStyle w:val="ListBullet"/>
        <w:spacing w:after="20"/>
      </w:pPr>
      <w:r>
        <w:rPr>
          <w:sz w:val="18"/>
        </w:rPr>
        <w:t>Correspondance exacte de cette formulation avec le corpus canonique : NON_VÉRIFIÉE dans ce passage.</w:t>
      </w:r>
    </w:p>
    <w:p>
      <w:pPr>
        <w:jc w:val="center"/>
      </w:pPr>
      <w:r>
        <w:rPr>
          <w:b/>
          <w:color w:val="1F4E79"/>
          <w:sz w:val="21"/>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r>
              <w:rPr>
                <w:b/>
                <w:color w:val="C62828"/>
                <w:sz w:val="18"/>
              </w:rPr>
              <w:t>BORNE — La matière n’est pas la dette. La dette est l’écart ajouté au référentiel planétaire qui impose une compensation excédentaire ; le temps ne fait qu’en prolonger l’exposition.</w:t>
            </w:r>
          </w:p>
        </w:tc>
      </w:tr>
    </w:tbl>
    <w:p>
      <w:pPr>
        <w:pageBreakBefore/>
        <w:spacing w:before="120" w:after="60"/>
      </w:pPr>
      <w:r>
        <w:rPr>
          <w:b/>
          <w:color w:val="2F7DBE"/>
          <w:sz w:val="30"/>
        </w:rPr>
        <w:t>SECTION 44 — L’objet est une organisation — la dette porte sur la réintégration</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RÉSULTAT — À l’échelle des objets ordinaires, fabriquer un objet ne crée pas sa matière : on organise une matière préexistante. La dette terminale ne porte donc pas sur la matière, mais sur la compensation nécessaire pour réintégrer la forme, la concentration, la localisation et les relations ajoutées.</w:t>
            </w:r>
          </w:p>
        </w:tc>
      </w:tr>
    </w:tbl>
    <w:p>
      <w:pPr>
        <w:spacing w:before="120" w:after="60"/>
      </w:pPr>
      <w:r>
        <w:rPr>
          <w:b/>
          <w:color w:val="2F7DBE"/>
          <w:sz w:val="24"/>
        </w:rPr>
        <w:t>44.1 Passage sur six objets simples</w:t>
      </w:r>
    </w:p>
    <w:tbl>
      <w:tblPr>
        <w:tblStyle w:val="TableGrid"/>
        <w:tblW w:type="auto" w:w="0"/>
        <w:tblLook w:firstColumn="1" w:firstRow="1" w:lastColumn="0" w:lastRow="0" w:noHBand="0" w:noVBand="1" w:val="04A0"/>
      </w:tblPr>
      <w:tblGrid>
        <w:gridCol w:w="2592"/>
        <w:gridCol w:w="2592"/>
        <w:gridCol w:w="2592"/>
        <w:gridCol w:w="2592"/>
      </w:tblGrid>
      <w:tr>
        <w:tc>
          <w:tcPr>
            <w:tcW w:type="dxa" w:w="1613"/>
            <w:shd w:fill="D9EAF7"/>
          </w:tcPr>
          <w:p>
            <w:r>
              <w:rPr>
                <w:b/>
                <w:color w:val="1F4E79"/>
                <w:sz w:val="15"/>
              </w:rPr>
              <w:t>Objet</w:t>
            </w:r>
          </w:p>
        </w:tc>
        <w:tc>
          <w:tcPr>
            <w:tcW w:type="dxa" w:w="2477"/>
            <w:shd w:fill="D9EAF7"/>
          </w:tcPr>
          <w:p>
            <w:r>
              <w:rPr>
                <w:b/>
                <w:color w:val="1F4E79"/>
                <w:sz w:val="15"/>
              </w:rPr>
              <w:t>Matière préexistante</w:t>
            </w:r>
          </w:p>
        </w:tc>
        <w:tc>
          <w:tcPr>
            <w:tcW w:type="dxa" w:w="3168"/>
            <w:shd w:fill="D9EAF7"/>
          </w:tcPr>
          <w:p>
            <w:r>
              <w:rPr>
                <w:b/>
                <w:color w:val="1F4E79"/>
                <w:sz w:val="15"/>
              </w:rPr>
              <w:t>Organisation ajoutée</w:t>
            </w:r>
          </w:p>
        </w:tc>
        <w:tc>
          <w:tcPr>
            <w:tcW w:type="dxa" w:w="2779"/>
            <w:shd w:fill="D9EAF7"/>
          </w:tcPr>
          <w:p>
            <w:r>
              <w:rPr>
                <w:b/>
                <w:color w:val="1F4E79"/>
                <w:sz w:val="15"/>
              </w:rPr>
              <w:t>Tâche terminale</w:t>
            </w:r>
          </w:p>
        </w:tc>
      </w:tr>
      <w:tr>
        <w:tc>
          <w:tcPr>
            <w:tcW w:type="dxa" w:w="1613"/>
            <w:vAlign w:val="top"/>
          </w:tcPr>
          <w:p>
            <w:r>
              <w:rPr>
                <w:sz w:val="14"/>
              </w:rPr>
              <w:t>Feuille</w:t>
            </w:r>
          </w:p>
        </w:tc>
        <w:tc>
          <w:tcPr>
            <w:tcW w:type="dxa" w:w="2477"/>
            <w:vAlign w:val="top"/>
          </w:tcPr>
          <w:p>
            <w:r>
              <w:rPr>
                <w:sz w:val="14"/>
              </w:rPr>
              <w:t>Cellulose, eau, charges.</w:t>
            </w:r>
          </w:p>
        </w:tc>
        <w:tc>
          <w:tcPr>
            <w:tcW w:type="dxa" w:w="3168"/>
            <w:vAlign w:val="top"/>
          </w:tcPr>
          <w:p>
            <w:r>
              <w:rPr>
                <w:sz w:val="14"/>
              </w:rPr>
              <w:t>Fibres assemblées en feuille transportable.</w:t>
            </w:r>
          </w:p>
        </w:tc>
        <w:tc>
          <w:tcPr>
            <w:tcW w:type="dxa" w:w="2779"/>
            <w:vAlign w:val="top"/>
          </w:tcPr>
          <w:p>
            <w:r>
              <w:rPr>
                <w:sz w:val="14"/>
              </w:rPr>
              <w:t>Désassembler, redistribuer ou réemployer sans compensation excédentaire.</w:t>
            </w:r>
          </w:p>
        </w:tc>
      </w:tr>
      <w:tr>
        <w:tc>
          <w:tcPr>
            <w:tcW w:type="dxa" w:w="1613"/>
            <w:vAlign w:val="top"/>
          </w:tcPr>
          <w:p>
            <w:r>
              <w:rPr>
                <w:sz w:val="14"/>
              </w:rPr>
              <w:t>Verre</w:t>
            </w:r>
          </w:p>
        </w:tc>
        <w:tc>
          <w:tcPr>
            <w:tcW w:type="dxa" w:w="2477"/>
            <w:vAlign w:val="top"/>
          </w:tcPr>
          <w:p>
            <w:r>
              <w:rPr>
                <w:sz w:val="14"/>
              </w:rPr>
              <w:t>Silice et minéraux.</w:t>
            </w:r>
          </w:p>
        </w:tc>
        <w:tc>
          <w:tcPr>
            <w:tcW w:type="dxa" w:w="3168"/>
            <w:vAlign w:val="top"/>
          </w:tcPr>
          <w:p>
            <w:r>
              <w:rPr>
                <w:sz w:val="14"/>
              </w:rPr>
              <w:t>Structure vitreuse, forme, quantité et lieu.</w:t>
            </w:r>
          </w:p>
        </w:tc>
        <w:tc>
          <w:tcPr>
            <w:tcW w:type="dxa" w:w="2779"/>
            <w:vAlign w:val="top"/>
          </w:tcPr>
          <w:p>
            <w:r>
              <w:rPr>
                <w:sz w:val="14"/>
              </w:rPr>
              <w:t>Réintégrer l’écart ajouté ; le verre naturel n’est pas une dette en soi.</w:t>
            </w:r>
          </w:p>
        </w:tc>
      </w:tr>
      <w:tr>
        <w:tc>
          <w:tcPr>
            <w:tcW w:type="dxa" w:w="1613"/>
            <w:vAlign w:val="top"/>
          </w:tcPr>
          <w:p>
            <w:r>
              <w:rPr>
                <w:sz w:val="14"/>
              </w:rPr>
              <w:t>Bille d’acier</w:t>
            </w:r>
          </w:p>
        </w:tc>
        <w:tc>
          <w:tcPr>
            <w:tcW w:type="dxa" w:w="2477"/>
            <w:vAlign w:val="top"/>
          </w:tcPr>
          <w:p>
            <w:r>
              <w:rPr>
                <w:sz w:val="14"/>
              </w:rPr>
              <w:t>Fer, carbone, énergie.</w:t>
            </w:r>
          </w:p>
        </w:tc>
        <w:tc>
          <w:tcPr>
            <w:tcW w:type="dxa" w:w="3168"/>
            <w:vAlign w:val="top"/>
          </w:tcPr>
          <w:p>
            <w:r>
              <w:rPr>
                <w:sz w:val="14"/>
              </w:rPr>
              <w:t>Alliage concentré et forme sphérique.</w:t>
            </w:r>
          </w:p>
        </w:tc>
        <w:tc>
          <w:tcPr>
            <w:tcW w:type="dxa" w:w="2779"/>
            <w:vAlign w:val="top"/>
          </w:tcPr>
          <w:p>
            <w:r>
              <w:rPr>
                <w:sz w:val="14"/>
              </w:rPr>
              <w:t>Récupérer, oxyder, stocker ou redistribuer l’organisation ajoutée.</w:t>
            </w:r>
          </w:p>
        </w:tc>
      </w:tr>
      <w:tr>
        <w:tc>
          <w:tcPr>
            <w:tcW w:type="dxa" w:w="1613"/>
            <w:vAlign w:val="top"/>
          </w:tcPr>
          <w:p>
            <w:r>
              <w:rPr>
                <w:sz w:val="14"/>
              </w:rPr>
              <w:t>Élastique</w:t>
            </w:r>
          </w:p>
        </w:tc>
        <w:tc>
          <w:tcPr>
            <w:tcW w:type="dxa" w:w="2477"/>
            <w:vAlign w:val="top"/>
          </w:tcPr>
          <w:p>
            <w:r>
              <w:rPr>
                <w:sz w:val="14"/>
              </w:rPr>
              <w:t>Molécules carbonées.</w:t>
            </w:r>
          </w:p>
        </w:tc>
        <w:tc>
          <w:tcPr>
            <w:tcW w:type="dxa" w:w="3168"/>
            <w:vAlign w:val="top"/>
          </w:tcPr>
          <w:p>
            <w:r>
              <w:rPr>
                <w:sz w:val="14"/>
              </w:rPr>
              <w:t>Chaînes polymères réticulées et mises en tension.</w:t>
            </w:r>
          </w:p>
        </w:tc>
        <w:tc>
          <w:tcPr>
            <w:tcW w:type="dxa" w:w="2779"/>
            <w:vAlign w:val="top"/>
          </w:tcPr>
          <w:p>
            <w:r>
              <w:rPr>
                <w:sz w:val="14"/>
              </w:rPr>
              <w:t>Traiter fragments et rejets jusqu’au retour de la compensation au niveau de référence.</w:t>
            </w:r>
          </w:p>
        </w:tc>
      </w:tr>
      <w:tr>
        <w:tc>
          <w:tcPr>
            <w:tcW w:type="dxa" w:w="1613"/>
            <w:vAlign w:val="top"/>
          </w:tcPr>
          <w:p>
            <w:r>
              <w:rPr>
                <w:sz w:val="14"/>
              </w:rPr>
              <w:t>Aimant</w:t>
            </w:r>
          </w:p>
        </w:tc>
        <w:tc>
          <w:tcPr>
            <w:tcW w:type="dxa" w:w="2477"/>
            <w:vAlign w:val="top"/>
          </w:tcPr>
          <w:p>
            <w:r>
              <w:rPr>
                <w:sz w:val="14"/>
              </w:rPr>
              <w:t>Métaux et énergie.</w:t>
            </w:r>
          </w:p>
        </w:tc>
        <w:tc>
          <w:tcPr>
            <w:tcW w:type="dxa" w:w="3168"/>
            <w:vAlign w:val="top"/>
          </w:tcPr>
          <w:p>
            <w:r>
              <w:rPr>
                <w:sz w:val="14"/>
              </w:rPr>
              <w:t>Forme, alliage et domaines magnétiques orientés.</w:t>
            </w:r>
          </w:p>
        </w:tc>
        <w:tc>
          <w:tcPr>
            <w:tcW w:type="dxa" w:w="2779"/>
            <w:vAlign w:val="top"/>
          </w:tcPr>
          <w:p>
            <w:r>
              <w:rPr>
                <w:sz w:val="14"/>
              </w:rPr>
              <w:t>Réemployer ou réintégrer matière et effets sans charge excédentaire.</w:t>
            </w:r>
          </w:p>
        </w:tc>
      </w:tr>
      <w:tr>
        <w:tc>
          <w:tcPr>
            <w:tcW w:type="dxa" w:w="1613"/>
            <w:vAlign w:val="top"/>
          </w:tcPr>
          <w:p>
            <w:r>
              <w:rPr>
                <w:sz w:val="14"/>
              </w:rPr>
              <w:t>Tire-bouchon</w:t>
            </w:r>
          </w:p>
        </w:tc>
        <w:tc>
          <w:tcPr>
            <w:tcW w:type="dxa" w:w="2477"/>
            <w:vAlign w:val="top"/>
          </w:tcPr>
          <w:p>
            <w:r>
              <w:rPr>
                <w:sz w:val="14"/>
              </w:rPr>
              <w:t>Métal et/ou polymère.</w:t>
            </w:r>
          </w:p>
        </w:tc>
        <w:tc>
          <w:tcPr>
            <w:tcW w:type="dxa" w:w="3168"/>
            <w:vAlign w:val="top"/>
          </w:tcPr>
          <w:p>
            <w:r>
              <w:rPr>
                <w:sz w:val="14"/>
              </w:rPr>
              <w:t>Pièces formées, assemblées et déplacées.</w:t>
            </w:r>
          </w:p>
        </w:tc>
        <w:tc>
          <w:tcPr>
            <w:tcW w:type="dxa" w:w="2779"/>
            <w:vAlign w:val="top"/>
          </w:tcPr>
          <w:p>
            <w:r>
              <w:rPr>
                <w:sz w:val="14"/>
              </w:rPr>
              <w:t>Désassembler et redistribuer les résidus ; ne pas annihiler la matière.</w:t>
            </w:r>
          </w:p>
        </w:tc>
      </w:tr>
    </w:tbl>
    <w:p>
      <w:pPr>
        <w:spacing w:before="120" w:after="60"/>
      </w:pPr>
      <w:r>
        <w:rPr>
          <w:b/>
          <w:color w:val="2F7DBE"/>
          <w:sz w:val="24"/>
        </w:rPr>
        <w:t>44.2 Borne obtenue</w:t>
      </w:r>
    </w:p>
    <w:p>
      <w:pPr>
        <w:pStyle w:val="ListBullet"/>
        <w:spacing w:after="16"/>
      </w:pPr>
      <w:r>
        <w:rPr>
          <w:sz w:val="17"/>
        </w:rPr>
        <w:t>L’identité de l’objet est une organisation de matière, d’énergie et de relations ; sa destruction n’est pas la disparition de sa matière.</w:t>
      </w:r>
    </w:p>
    <w:p>
      <w:pPr>
        <w:pStyle w:val="ListBullet"/>
        <w:spacing w:after="16"/>
      </w:pPr>
      <w:r>
        <w:rPr>
          <w:sz w:val="17"/>
        </w:rPr>
        <w:t>Une organisation utile et admissible n’est pas une dette par défaut : seule sa compensation excédentaire par rapport au référentiel fixé compte.</w:t>
      </w:r>
    </w:p>
    <w:p>
      <w:pPr>
        <w:pStyle w:val="ListBullet"/>
        <w:spacing w:after="16"/>
      </w:pPr>
      <w:r>
        <w:rPr>
          <w:sz w:val="17"/>
        </w:rPr>
        <w:t>La fin de l’objet identifiable ne prouve pas la fin de la dette ; ses résidus et effets relationnels peuvent demeurer.</w:t>
      </w:r>
    </w:p>
    <w:p>
      <w:pPr>
        <w:pStyle w:val="ListBullet"/>
        <w:spacing w:after="16"/>
      </w:pPr>
      <w:r>
        <w:rPr>
          <w:sz w:val="17"/>
        </w:rPr>
        <w:t>La fin de la dette est le retour de la compensation des cadres supérieurs à leur niveau de référence.</w:t>
      </w:r>
    </w:p>
    <w:p>
      <w:pPr>
        <w:spacing w:before="120" w:after="60"/>
      </w:pPr>
      <w:r>
        <w:rPr>
          <w:b/>
          <w:color w:val="2F7DBE"/>
          <w:sz w:val="24"/>
        </w:rPr>
        <w:t>44.3 Contre-test intuitif — le sel</w:t>
      </w:r>
    </w:p>
    <w:p>
      <w:pPr>
        <w:pStyle w:val="ListBullet"/>
        <w:spacing w:after="16"/>
      </w:pPr>
      <w:r>
        <w:rPr>
          <w:sz w:val="17"/>
        </w:rPr>
        <w:t>Le sel existe naturellement dans la mer et les roches : naturel ne signifie donc ni dette ni absence de dette.</w:t>
      </w:r>
    </w:p>
    <w:p>
      <w:pPr>
        <w:pStyle w:val="ListBullet"/>
        <w:spacing w:after="16"/>
      </w:pPr>
      <w:r>
        <w:rPr>
          <w:sz w:val="17"/>
        </w:rPr>
        <w:t>Le même sel, trop concentré dans un sol ou une eau douce, peut imposer dessalement, déplacement ou adaptation écologique.</w:t>
      </w:r>
    </w:p>
    <w:p>
      <w:pPr>
        <w:pStyle w:val="ListBullet"/>
        <w:spacing w:after="16"/>
      </w:pPr>
      <w:r>
        <w:rPr>
          <w:sz w:val="17"/>
        </w:rPr>
        <w:t>Le critère cohérent est l’écart de quantité, concentration, localisation et interaction au référentiel — pas l’origine naturelle ou humaine de la matière.</w:t>
      </w:r>
    </w:p>
    <w:p>
      <w:pPr>
        <w:spacing w:before="120" w:after="60"/>
      </w:pPr>
      <w:r>
        <w:rPr>
          <w:b/>
          <w:color w:val="2F7DBE"/>
          <w:sz w:val="24"/>
        </w:rPr>
        <w:t>44.4 Calcul multicadre obligatoire</w:t>
      </w:r>
    </w:p>
    <w:p>
      <w:pPr>
        <w:pStyle w:val="ListBullet"/>
        <w:spacing w:after="16"/>
      </w:pPr>
      <w:r>
        <w:rPr>
          <w:sz w:val="17"/>
        </w:rPr>
        <w:t>Cadres locaux des six objets : PASS qualitatif — matière préexistante et organisation ajoutée sont distinguables.</w:t>
      </w:r>
    </w:p>
    <w:p>
      <w:pPr>
        <w:pStyle w:val="ListBullet"/>
        <w:spacing w:after="16"/>
      </w:pPr>
      <w:r>
        <w:rPr>
          <w:sz w:val="17"/>
        </w:rPr>
        <w:t>Cadres relationnels voisins : PASS structurel — usages, fragments et interactions doivent être ouverts séparément pour éviter le double comptage.</w:t>
      </w:r>
    </w:p>
    <w:p>
      <w:pPr>
        <w:pStyle w:val="ListBullet"/>
        <w:spacing w:after="16"/>
      </w:pPr>
      <w:r>
        <w:rPr>
          <w:sz w:val="17"/>
        </w:rPr>
        <w:t>Cadres supérieurs jusqu’à la planète : PASS structurel — ils reçoivent et compensent les écarts ; trajectoires et valeurs réelles = NON_MESURÉES.</w:t>
      </w:r>
    </w:p>
    <w:p>
      <w:pPr>
        <w:pStyle w:val="ListBullet"/>
        <w:spacing w:after="16"/>
      </w:pPr>
      <w:r>
        <w:rPr>
          <w:sz w:val="17"/>
        </w:rPr>
        <w:t>Cadre universel et correspondance exacte avec le corpus canonique : NON_MESURÉS / NON_VÉRIFIÉE dans ce passage.</w:t>
      </w:r>
    </w:p>
    <w:p>
      <w:pPr>
        <w:jc w:val="center"/>
      </w:pPr>
      <w:r>
        <w:rPr>
          <w:b/>
          <w:color w:val="1F4E79"/>
          <w:sz w:val="20"/>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8"/>
              </w:rPr>
              <w:t>BORNE — La planète ne fait pas disparaître la matière : elle absorbe, transforme, stocke ou disperse l’organisation excédentaire en compensant la dette jusqu’au retour à un état admissible. Dette résorbée seulement lorsqu’aucune compensation supplémentaire ne demeure.</w:t>
            </w:r>
          </w:p>
        </w:tc>
      </w:tr>
    </w:tbl>
    <w:p>
      <w:pPr>
        <w:pageBreakBefore/>
        <w:spacing w:before="120" w:after="60"/>
      </w:pPr>
      <w:r>
        <w:rPr>
          <w:b/>
          <w:color w:val="2F7DBE"/>
          <w:sz w:val="30"/>
        </w:rPr>
        <w:t>SECTION 45 — La dette appartient à chaque objet dont l’état s’écarte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RÉSULTAT — Tout objet dont l’état s’écarte de sa référence peut porter une dette dans son propre cadre. L’objet local peut porter une dette interne comme englobant de ses composants, tandis que l’objet supérieur peut porter simultanément une dette relationnelle distincte.</w:t>
            </w:r>
          </w:p>
        </w:tc>
      </w:tr>
    </w:tbl>
    <w:p>
      <w:pPr>
        <w:spacing w:before="120" w:after="60"/>
      </w:pPr>
      <w:r>
        <w:rPr>
          <w:b/>
          <w:color w:val="2F7DBE"/>
          <w:sz w:val="24"/>
        </w:rPr>
        <w:t>45.1 Six passages du local vers l’englobant</w:t>
      </w:r>
    </w:p>
    <w:tbl>
      <w:tblPr>
        <w:tblStyle w:val="TableGrid"/>
        <w:tblW w:type="auto" w:w="0"/>
        <w:tblLook w:firstColumn="1" w:firstRow="1" w:lastColumn="0" w:lastRow="0" w:noHBand="0" w:noVBand="1" w:val="04A0"/>
      </w:tblPr>
      <w:tblGrid>
        <w:gridCol w:w="2592"/>
        <w:gridCol w:w="2592"/>
        <w:gridCol w:w="2592"/>
        <w:gridCol w:w="2592"/>
      </w:tblGrid>
      <w:tr>
        <w:tc>
          <w:tcPr>
            <w:tcW w:type="dxa" w:w="1512"/>
            <w:shd w:fill="D9EAF7"/>
          </w:tcPr>
          <w:p>
            <w:r>
              <w:rPr>
                <w:b/>
                <w:color w:val="1F4E79"/>
                <w:sz w:val="15"/>
              </w:rPr>
              <w:t>Objet local</w:t>
            </w:r>
          </w:p>
        </w:tc>
        <w:tc>
          <w:tcPr>
            <w:tcW w:type="dxa" w:w="2664"/>
            <w:shd w:fill="D9EAF7"/>
          </w:tcPr>
          <w:p>
            <w:r>
              <w:rPr>
                <w:b/>
                <w:color w:val="1F4E79"/>
                <w:sz w:val="15"/>
              </w:rPr>
              <w:t>Objet englobant</w:t>
            </w:r>
          </w:p>
        </w:tc>
        <w:tc>
          <w:tcPr>
            <w:tcW w:type="dxa" w:w="3024"/>
            <w:shd w:fill="D9EAF7"/>
          </w:tcPr>
          <w:p>
            <w:r>
              <w:rPr>
                <w:b/>
                <w:color w:val="1F4E79"/>
                <w:sz w:val="15"/>
              </w:rPr>
              <w:t>Écart reçu</w:t>
            </w:r>
          </w:p>
        </w:tc>
        <w:tc>
          <w:tcPr>
            <w:tcW w:type="dxa" w:w="2837"/>
            <w:shd w:fill="D9EAF7"/>
          </w:tcPr>
          <w:p>
            <w:r>
              <w:rPr>
                <w:b/>
                <w:color w:val="1F4E79"/>
                <w:sz w:val="15"/>
              </w:rPr>
              <w:t>Porteur de dette</w:t>
            </w:r>
          </w:p>
        </w:tc>
      </w:tr>
      <w:tr>
        <w:tc>
          <w:tcPr>
            <w:tcW w:type="dxa" w:w="1512"/>
            <w:vAlign w:val="top"/>
          </w:tcPr>
          <w:p>
            <w:r>
              <w:rPr>
                <w:sz w:val="14"/>
              </w:rPr>
              <w:t>Feuille</w:t>
            </w:r>
          </w:p>
        </w:tc>
        <w:tc>
          <w:tcPr>
            <w:tcW w:type="dxa" w:w="2664"/>
            <w:vAlign w:val="top"/>
          </w:tcPr>
          <w:p>
            <w:r>
              <w:rPr>
                <w:sz w:val="14"/>
              </w:rPr>
              <w:t>Évacuation ou pièce.</w:t>
            </w:r>
          </w:p>
        </w:tc>
        <w:tc>
          <w:tcPr>
            <w:tcW w:type="dxa" w:w="3024"/>
            <w:vAlign w:val="top"/>
          </w:tcPr>
          <w:p>
            <w:r>
              <w:rPr>
                <w:sz w:val="14"/>
              </w:rPr>
              <w:t>Obstruction ou résidu reçu.</w:t>
            </w:r>
          </w:p>
        </w:tc>
        <w:tc>
          <w:tcPr>
            <w:tcW w:type="dxa" w:w="2837"/>
            <w:vAlign w:val="top"/>
          </w:tcPr>
          <w:p>
            <w:r>
              <w:rPr>
                <w:sz w:val="14"/>
              </w:rPr>
              <w:t>L’évacuation ou la pièce qui doit être remise à l’état de référence.</w:t>
            </w:r>
          </w:p>
        </w:tc>
      </w:tr>
      <w:tr>
        <w:tc>
          <w:tcPr>
            <w:tcW w:type="dxa" w:w="1512"/>
            <w:vAlign w:val="top"/>
          </w:tcPr>
          <w:p>
            <w:r>
              <w:rPr>
                <w:sz w:val="14"/>
              </w:rPr>
              <w:t>Verre</w:t>
            </w:r>
          </w:p>
        </w:tc>
        <w:tc>
          <w:tcPr>
            <w:tcW w:type="dxa" w:w="2664"/>
            <w:vAlign w:val="top"/>
          </w:tcPr>
          <w:p>
            <w:r>
              <w:rPr>
                <w:sz w:val="14"/>
              </w:rPr>
              <w:t>Passage, bâtiment ou sol.</w:t>
            </w:r>
          </w:p>
        </w:tc>
        <w:tc>
          <w:tcPr>
            <w:tcW w:type="dxa" w:w="3024"/>
            <w:vAlign w:val="top"/>
          </w:tcPr>
          <w:p>
            <w:r>
              <w:rPr>
                <w:sz w:val="14"/>
              </w:rPr>
              <w:t>Tesson coupant ou déplacé.</w:t>
            </w:r>
          </w:p>
        </w:tc>
        <w:tc>
          <w:tcPr>
            <w:tcW w:type="dxa" w:w="2837"/>
            <w:vAlign w:val="top"/>
          </w:tcPr>
          <w:p>
            <w:r>
              <w:rPr>
                <w:sz w:val="14"/>
              </w:rPr>
              <w:t>Le passage, le bâtiment ou le sol qui exige protection et collecte.</w:t>
            </w:r>
          </w:p>
        </w:tc>
      </w:tr>
      <w:tr>
        <w:tc>
          <w:tcPr>
            <w:tcW w:type="dxa" w:w="1512"/>
            <w:vAlign w:val="top"/>
          </w:tcPr>
          <w:p>
            <w:r>
              <w:rPr>
                <w:sz w:val="14"/>
              </w:rPr>
              <w:t>Bille d’acier</w:t>
            </w:r>
          </w:p>
        </w:tc>
        <w:tc>
          <w:tcPr>
            <w:tcW w:type="dxa" w:w="2664"/>
            <w:vAlign w:val="top"/>
          </w:tcPr>
          <w:p>
            <w:r>
              <w:rPr>
                <w:sz w:val="14"/>
              </w:rPr>
              <w:t>Roulement ou machine.</w:t>
            </w:r>
          </w:p>
        </w:tc>
        <w:tc>
          <w:tcPr>
            <w:tcW w:type="dxa" w:w="3024"/>
            <w:vAlign w:val="top"/>
          </w:tcPr>
          <w:p>
            <w:r>
              <w:rPr>
                <w:sz w:val="14"/>
              </w:rPr>
              <w:t>Jeu, blocage ou usure transmis.</w:t>
            </w:r>
          </w:p>
        </w:tc>
        <w:tc>
          <w:tcPr>
            <w:tcW w:type="dxa" w:w="2837"/>
            <w:vAlign w:val="top"/>
          </w:tcPr>
          <w:p>
            <w:r>
              <w:rPr>
                <w:sz w:val="14"/>
              </w:rPr>
              <w:t>Le roulement ou la machine qui doit compenser l’écart.</w:t>
            </w:r>
          </w:p>
        </w:tc>
      </w:tr>
      <w:tr>
        <w:tc>
          <w:tcPr>
            <w:tcW w:type="dxa" w:w="1512"/>
            <w:vAlign w:val="top"/>
          </w:tcPr>
          <w:p>
            <w:r>
              <w:rPr>
                <w:sz w:val="14"/>
              </w:rPr>
              <w:t>Élastique</w:t>
            </w:r>
          </w:p>
        </w:tc>
        <w:tc>
          <w:tcPr>
            <w:tcW w:type="dxa" w:w="2664"/>
            <w:vAlign w:val="top"/>
          </w:tcPr>
          <w:p>
            <w:r>
              <w:rPr>
                <w:sz w:val="14"/>
              </w:rPr>
              <w:t>Assemblage ou organisme.</w:t>
            </w:r>
          </w:p>
        </w:tc>
        <w:tc>
          <w:tcPr>
            <w:tcW w:type="dxa" w:w="3024"/>
            <w:vAlign w:val="top"/>
          </w:tcPr>
          <w:p>
            <w:r>
              <w:rPr>
                <w:sz w:val="14"/>
              </w:rPr>
              <w:t>Rupture, fragment ou enchevêtrement.</w:t>
            </w:r>
          </w:p>
        </w:tc>
        <w:tc>
          <w:tcPr>
            <w:tcW w:type="dxa" w:w="2837"/>
            <w:vAlign w:val="top"/>
          </w:tcPr>
          <w:p>
            <w:r>
              <w:rPr>
                <w:sz w:val="14"/>
              </w:rPr>
              <w:t>L’assemblage ou l’organisme dont le fonctionnement est perturbé.</w:t>
            </w:r>
          </w:p>
        </w:tc>
      </w:tr>
      <w:tr>
        <w:tc>
          <w:tcPr>
            <w:tcW w:type="dxa" w:w="1512"/>
            <w:vAlign w:val="top"/>
          </w:tcPr>
          <w:p>
            <w:r>
              <w:rPr>
                <w:sz w:val="14"/>
              </w:rPr>
              <w:t>Aimant</w:t>
            </w:r>
          </w:p>
        </w:tc>
        <w:tc>
          <w:tcPr>
            <w:tcW w:type="dxa" w:w="2664"/>
            <w:vAlign w:val="top"/>
          </w:tcPr>
          <w:p>
            <w:r>
              <w:rPr>
                <w:sz w:val="14"/>
              </w:rPr>
              <w:t>Moteur ou dispositif voisin.</w:t>
            </w:r>
          </w:p>
        </w:tc>
        <w:tc>
          <w:tcPr>
            <w:tcW w:type="dxa" w:w="3024"/>
            <w:vAlign w:val="top"/>
          </w:tcPr>
          <w:p>
            <w:r>
              <w:rPr>
                <w:sz w:val="14"/>
              </w:rPr>
              <w:t>Champ déplacé ou interaction parasite.</w:t>
            </w:r>
          </w:p>
        </w:tc>
        <w:tc>
          <w:tcPr>
            <w:tcW w:type="dxa" w:w="2837"/>
            <w:vAlign w:val="top"/>
          </w:tcPr>
          <w:p>
            <w:r>
              <w:rPr>
                <w:sz w:val="14"/>
              </w:rPr>
              <w:t>Le moteur ou dispositif dont l’état doit être corrigé.</w:t>
            </w:r>
          </w:p>
        </w:tc>
      </w:tr>
      <w:tr>
        <w:tc>
          <w:tcPr>
            <w:tcW w:type="dxa" w:w="1512"/>
            <w:vAlign w:val="top"/>
          </w:tcPr>
          <w:p>
            <w:r>
              <w:rPr>
                <w:sz w:val="14"/>
              </w:rPr>
              <w:t>Tire-bouchon</w:t>
            </w:r>
          </w:p>
        </w:tc>
        <w:tc>
          <w:tcPr>
            <w:tcW w:type="dxa" w:w="2664"/>
            <w:vAlign w:val="top"/>
          </w:tcPr>
          <w:p>
            <w:r>
              <w:rPr>
                <w:sz w:val="14"/>
              </w:rPr>
              <w:t>Cuisine, plage ou milieu aquatique.</w:t>
            </w:r>
          </w:p>
        </w:tc>
        <w:tc>
          <w:tcPr>
            <w:tcW w:type="dxa" w:w="3024"/>
            <w:vAlign w:val="top"/>
          </w:tcPr>
          <w:p>
            <w:r>
              <w:rPr>
                <w:sz w:val="14"/>
              </w:rPr>
              <w:t>Objet déplacé et résidus reçus.</w:t>
            </w:r>
          </w:p>
        </w:tc>
        <w:tc>
          <w:tcPr>
            <w:tcW w:type="dxa" w:w="2837"/>
            <w:vAlign w:val="top"/>
          </w:tcPr>
          <w:p>
            <w:r>
              <w:rPr>
                <w:sz w:val="14"/>
              </w:rPr>
              <w:t>Le milieu englobant qui doit collecter, traiter ou s’adapter.</w:t>
            </w:r>
          </w:p>
        </w:tc>
      </w:tr>
    </w:tbl>
    <w:p>
      <w:pPr>
        <w:spacing w:before="120" w:after="60"/>
      </w:pPr>
      <w:r>
        <w:rPr>
          <w:b/>
          <w:color w:val="2F7DBE"/>
          <w:sz w:val="24"/>
        </w:rPr>
        <w:t>45.2 Borne logique</w:t>
      </w:r>
    </w:p>
    <w:p>
      <w:pPr>
        <w:pStyle w:val="ListBullet"/>
        <w:spacing w:after="14"/>
      </w:pPr>
      <w:r>
        <w:rPr>
          <w:sz w:val="17"/>
        </w:rPr>
        <w:t>L’objet local peut être source de l’écart et porteur de sa propre dette interne ; l’objet supérieur porte une dette distincte seulement si son état est affecté.</w:t>
      </w:r>
    </w:p>
    <w:p>
      <w:pPr>
        <w:pStyle w:val="ListBullet"/>
        <w:spacing w:after="14"/>
      </w:pPr>
      <w:r>
        <w:rPr>
          <w:sz w:val="17"/>
        </w:rPr>
        <w:t>Un même objet peut être admissible dans un englobant et produire une dette dans un autre, sans changer de matière.</w:t>
      </w:r>
    </w:p>
    <w:p>
      <w:pPr>
        <w:pStyle w:val="ListBullet"/>
        <w:spacing w:after="14"/>
      </w:pPr>
      <w:r>
        <w:rPr>
          <w:sz w:val="17"/>
        </w:rPr>
        <w:t>Tout objet peut changer de rôle : englobé à un niveau, il devient englobant pour ses propres composants au niveau inférieur.</w:t>
      </w:r>
    </w:p>
    <w:p>
      <w:pPr>
        <w:pStyle w:val="ListBullet"/>
        <w:spacing w:after="14"/>
      </w:pPr>
      <w:r>
        <w:rPr>
          <w:sz w:val="17"/>
        </w:rPr>
        <w:t>Si un résidu remonte, chaque cadre supérieur reçoit sa dette propre ; les compensations déjà comptées ne doivent pas être additionnées une seconde fois.</w:t>
      </w:r>
    </w:p>
    <w:p>
      <w:pPr>
        <w:spacing w:before="120" w:after="60"/>
      </w:pPr>
      <w:r>
        <w:rPr>
          <w:b/>
          <w:color w:val="2F7DBE"/>
          <w:sz w:val="24"/>
        </w:rPr>
        <w:t>45.3 Écriture minimale — sans faux chiffre</w:t>
      </w:r>
    </w:p>
    <w:p>
      <w:pPr>
        <w:jc w:val="center"/>
      </w:pPr>
      <w:r>
        <w:rPr>
          <w:b/>
          <w:color w:val="1F4E79"/>
          <w:sz w:val="20"/>
        </w:rPr>
        <w:t>Dette de l’englobant = écart de son état à sa référence ; compensation = réponse appliquée pour réduire cet écart</w:t>
      </w:r>
    </w:p>
    <w:p>
      <w:pPr>
        <w:pStyle w:val="ListBullet"/>
        <w:spacing w:after="14"/>
      </w:pPr>
      <w:r>
        <w:rPr>
          <w:sz w:val="17"/>
        </w:rPr>
        <w:t>Si l’objet local revient seul à l’état admissible sans charge transmise : aucune dette englobante n’est démontrée.</w:t>
      </w:r>
    </w:p>
    <w:p>
      <w:pPr>
        <w:pStyle w:val="ListBullet"/>
        <w:spacing w:after="14"/>
      </w:pPr>
      <w:r>
        <w:rPr>
          <w:sz w:val="17"/>
        </w:rPr>
        <w:t>Si l’englobant doit maintenir une compensation et que l’écart réapparaît à son retrait : sa dette est compensée activement, non résorbée.</w:t>
      </w:r>
    </w:p>
    <w:p>
      <w:pPr>
        <w:pStyle w:val="ListBullet"/>
        <w:spacing w:after="14"/>
      </w:pPr>
      <w:r>
        <w:rPr>
          <w:sz w:val="17"/>
        </w:rPr>
        <w:t>Si l’englobant ne peut revenir à un état équivalent sans violer un invariant : rupture, et non dette compensable.</w:t>
      </w:r>
    </w:p>
    <w:p>
      <w:pPr>
        <w:spacing w:before="120" w:after="60"/>
      </w:pPr>
      <w:r>
        <w:rPr>
          <w:b/>
          <w:color w:val="2F7DBE"/>
          <w:sz w:val="24"/>
        </w:rPr>
        <w:t>45.4 Calcul multicadre obligatoire</w:t>
      </w:r>
    </w:p>
    <w:p>
      <w:pPr>
        <w:pStyle w:val="ListBullet"/>
        <w:spacing w:after="14"/>
      </w:pPr>
      <w:r>
        <w:rPr>
          <w:sz w:val="17"/>
        </w:rPr>
        <w:t>Six couples local–englobant : PASS qualitatif — la charge de compensation est portée par l’englobant affecté.</w:t>
      </w:r>
    </w:p>
    <w:p>
      <w:pPr>
        <w:pStyle w:val="ListBullet"/>
        <w:spacing w:after="14"/>
      </w:pPr>
      <w:r>
        <w:rPr>
          <w:sz w:val="17"/>
        </w:rPr>
        <w:t>Voisins et cadres relationnels : PASS structurel ; attribution causale et compensations réelles = NON_MESURÉES.</w:t>
      </w:r>
    </w:p>
    <w:p>
      <w:pPr>
        <w:pStyle w:val="ListBullet"/>
        <w:spacing w:after="14"/>
      </w:pPr>
      <w:r>
        <w:rPr>
          <w:sz w:val="17"/>
        </w:rPr>
        <w:t>Cadres supérieurs jusqu’à la planète : le résidu peut induire une dette propre dans chaque objet supérieur affecté ; valeurs et durées = NON_MESURÉES.</w:t>
      </w:r>
    </w:p>
    <w:p>
      <w:pPr>
        <w:pStyle w:val="ListBullet"/>
        <w:spacing w:after="14"/>
      </w:pPr>
      <w:r>
        <w:rPr>
          <w:sz w:val="17"/>
        </w:rPr>
        <w:t>Cadre universel : NON_MESURÉ. Correspondance exacte de cette formulation avec le corpus canonique : NON_VÉRIFIÉE dans ce passage.</w:t>
      </w:r>
    </w:p>
    <w:p>
      <w:pPr>
        <w:jc w:val="center"/>
      </w:pPr>
      <w:r>
        <w:rPr>
          <w:b/>
          <w:color w:val="1F4E79"/>
          <w:sz w:val="20"/>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8"/>
              </w:rPr>
              <w:t>BORNE — Le porteur de dette n’est pas exclusif : chaque objet affecté porte l’écart de son propre cadre. L’objet local englobe ses composants ; les objets supérieurs portent leurs dettes relationnelles distinctes jusqu’à la planète.</w:t>
            </w:r>
          </w:p>
        </w:tc>
      </w:tr>
    </w:tbl>
    <w:p>
      <w:pPr>
        <w:pageBreakBefore/>
        <w:spacing w:before="120" w:after="60"/>
      </w:pPr>
      <w:r>
        <w:rPr>
          <w:b/>
          <w:color w:val="2F7DBE"/>
          <w:sz w:val="28"/>
        </w:rPr>
        <w:t>SECTION 46 — Audit de la session — simplicité, dette et niveau de raisonnement</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VERDICT — L’affirmation de Fred est cohérente : 13 propositions sur 14 ont passé le premier filtre ; la seule formulation rejetée a été auto-corrigée par Fred de « éliminer » vers « compenser ». La simplicité a presque toujours réduit la dette conceptuelle, sans remplacer la mesure ni la falsification.</w:t>
            </w:r>
          </w:p>
        </w:tc>
      </w:tr>
    </w:tbl>
    <w:p>
      <w:pPr>
        <w:spacing w:before="120" w:after="60"/>
      </w:pPr>
      <w:r>
        <w:rPr>
          <w:b/>
          <w:color w:val="2F7DBE"/>
          <w:sz w:val="22"/>
        </w:rPr>
        <w:t>46.1 Corrections 1 à 7 — du filtre négatif au temps</w:t>
      </w:r>
    </w:p>
    <w:tbl>
      <w:tblPr>
        <w:tblStyle w:val="TableGrid"/>
        <w:tblW w:type="auto" w:w="0"/>
        <w:tblLook w:firstColumn="1" w:firstRow="1" w:lastColumn="0" w:lastRow="0" w:noHBand="0" w:noVBand="1" w:val="04A0"/>
      </w:tblPr>
      <w:tblGrid>
        <w:gridCol w:w="2592"/>
        <w:gridCol w:w="2592"/>
        <w:gridCol w:w="2592"/>
        <w:gridCol w:w="2592"/>
      </w:tblGrid>
      <w:tr>
        <w:tc>
          <w:tcPr>
            <w:tcW w:type="dxa" w:w="576"/>
            <w:shd w:fill="D9EAF7"/>
          </w:tcPr>
          <w:p>
            <w:r>
              <w:rPr>
                <w:b/>
                <w:color w:val="1F4E79"/>
                <w:sz w:val="15"/>
              </w:rPr>
              <w:t>N°</w:t>
            </w:r>
          </w:p>
        </w:tc>
        <w:tc>
          <w:tcPr>
            <w:tcW w:type="dxa" w:w="3168"/>
            <w:shd w:fill="D9EAF7"/>
          </w:tcPr>
          <w:p>
            <w:r>
              <w:rPr>
                <w:b/>
                <w:color w:val="1F4E79"/>
                <w:sz w:val="15"/>
              </w:rPr>
              <w:t>Simplification de Fred</w:t>
            </w:r>
          </w:p>
        </w:tc>
        <w:tc>
          <w:tcPr>
            <w:tcW w:type="dxa" w:w="4392"/>
            <w:shd w:fill="D9EAF7"/>
          </w:tcPr>
          <w:p>
            <w:r>
              <w:rPr>
                <w:b/>
                <w:color w:val="1F4E79"/>
                <w:sz w:val="15"/>
              </w:rPr>
              <w:t>Apport à la réflexion</w:t>
            </w:r>
          </w:p>
        </w:tc>
        <w:tc>
          <w:tcPr>
            <w:tcW w:type="dxa" w:w="1901"/>
            <w:shd w:fill="D9EAF7"/>
          </w:tcPr>
          <w:p>
            <w:r>
              <w:rPr>
                <w:b/>
                <w:color w:val="1F4E79"/>
                <w:sz w:val="15"/>
              </w:rPr>
              <w:t>Verdict</w:t>
            </w:r>
          </w:p>
        </w:tc>
      </w:tr>
      <w:tr>
        <w:tc>
          <w:tcPr>
            <w:tcW w:type="dxa" w:w="576"/>
            <w:vAlign w:val="center"/>
          </w:tcPr>
          <w:p>
            <w:pPr>
              <w:jc w:val="center"/>
            </w:pPr>
            <w:r>
              <w:rPr>
                <w:sz w:val="14"/>
              </w:rPr>
              <w:t>1</w:t>
            </w:r>
          </w:p>
        </w:tc>
        <w:tc>
          <w:tcPr>
            <w:tcW w:type="dxa" w:w="3168"/>
            <w:vAlign w:val="center"/>
          </w:tcPr>
          <w:p>
            <w:r>
              <w:rPr>
                <w:sz w:val="13"/>
              </w:rPr>
              <w:t>Borner l’impossible avant d’explorer.</w:t>
            </w:r>
          </w:p>
        </w:tc>
        <w:tc>
          <w:tcPr>
            <w:tcW w:type="dxa" w:w="4392"/>
            <w:vAlign w:val="center"/>
          </w:tcPr>
          <w:p>
            <w:r>
              <w:rPr>
                <w:sz w:val="13"/>
              </w:rPr>
              <w:t>Remplace la génération ouverte par une porte d’admissibilité et réduit immédiatement T et σ.</w:t>
            </w:r>
          </w:p>
        </w:tc>
        <w:tc>
          <w:tcPr>
            <w:tcW w:type="dxa" w:w="1901"/>
            <w:vAlign w:val="center"/>
          </w:tcPr>
          <w:p>
            <w:pPr>
              <w:jc w:val="center"/>
            </w:pPr>
            <w:r>
              <w:rPr>
                <w:b/>
                <w:color w:val="1F4E79"/>
                <w:sz w:val="14"/>
              </w:rPr>
              <w:t>PASS</w:t>
            </w:r>
          </w:p>
        </w:tc>
      </w:tr>
      <w:tr>
        <w:tc>
          <w:tcPr>
            <w:tcW w:type="dxa" w:w="576"/>
            <w:vAlign w:val="center"/>
          </w:tcPr>
          <w:p>
            <w:pPr>
              <w:jc w:val="center"/>
            </w:pPr>
            <w:r>
              <w:rPr>
                <w:sz w:val="14"/>
              </w:rPr>
              <w:t>2</w:t>
            </w:r>
          </w:p>
        </w:tc>
        <w:tc>
          <w:tcPr>
            <w:tcW w:type="dxa" w:w="3168"/>
            <w:vAlign w:val="center"/>
          </w:tcPr>
          <w:p>
            <w:r>
              <w:rPr>
                <w:sz w:val="13"/>
              </w:rPr>
              <w:t>Le filtre négatif donne les futurs possibles.</w:t>
            </w:r>
          </w:p>
        </w:tc>
        <w:tc>
          <w:tcPr>
            <w:tcW w:type="dxa" w:w="4392"/>
            <w:vAlign w:val="center"/>
          </w:tcPr>
          <w:p>
            <w:r>
              <w:rPr>
                <w:sz w:val="13"/>
              </w:rPr>
              <w:t>Conserve les futurs admissibles parmi ceux qui ont été générés ; l’exhaustivité de tous les futurs n’est pas démontrée.</w:t>
            </w:r>
          </w:p>
        </w:tc>
        <w:tc>
          <w:tcPr>
            <w:tcW w:type="dxa" w:w="1901"/>
            <w:vAlign w:val="center"/>
          </w:tcPr>
          <w:p>
            <w:pPr>
              <w:jc w:val="center"/>
            </w:pPr>
            <w:r>
              <w:rPr>
                <w:b/>
                <w:color w:val="1F4E79"/>
                <w:sz w:val="14"/>
              </w:rPr>
              <w:t>BORNÉ</w:t>
            </w:r>
          </w:p>
        </w:tc>
      </w:tr>
      <w:tr>
        <w:tc>
          <w:tcPr>
            <w:tcW w:type="dxa" w:w="576"/>
            <w:vAlign w:val="center"/>
          </w:tcPr>
          <w:p>
            <w:pPr>
              <w:jc w:val="center"/>
            </w:pPr>
            <w:r>
              <w:rPr>
                <w:sz w:val="14"/>
              </w:rPr>
              <w:t>3</w:t>
            </w:r>
          </w:p>
        </w:tc>
        <w:tc>
          <w:tcPr>
            <w:tcW w:type="dxa" w:w="3168"/>
            <w:vAlign w:val="center"/>
          </w:tcPr>
          <w:p>
            <w:r>
              <w:rPr>
                <w:sz w:val="13"/>
              </w:rPr>
              <w:t>Choisir la dette minimale.</w:t>
            </w:r>
          </w:p>
        </w:tc>
        <w:tc>
          <w:tcPr>
            <w:tcW w:type="dxa" w:w="4392"/>
            <w:vAlign w:val="center"/>
          </w:tcPr>
          <w:p>
            <w:r>
              <w:rPr>
                <w:sz w:val="13"/>
              </w:rPr>
              <w:t>Ajoute le critère d’économie causale, sous interdiction de transférer la dette à un autre cadre.</w:t>
            </w:r>
          </w:p>
        </w:tc>
        <w:tc>
          <w:tcPr>
            <w:tcW w:type="dxa" w:w="1901"/>
            <w:vAlign w:val="center"/>
          </w:tcPr>
          <w:p>
            <w:pPr>
              <w:jc w:val="center"/>
            </w:pPr>
            <w:r>
              <w:rPr>
                <w:b/>
                <w:color w:val="1F4E79"/>
                <w:sz w:val="14"/>
              </w:rPr>
              <w:t>PASS</w:t>
            </w:r>
          </w:p>
        </w:tc>
      </w:tr>
      <w:tr>
        <w:tc>
          <w:tcPr>
            <w:tcW w:type="dxa" w:w="576"/>
            <w:vAlign w:val="center"/>
          </w:tcPr>
          <w:p>
            <w:pPr>
              <w:jc w:val="center"/>
            </w:pPr>
            <w:r>
              <w:rPr>
                <w:sz w:val="14"/>
              </w:rPr>
              <w:t>4</w:t>
            </w:r>
          </w:p>
        </w:tc>
        <w:tc>
          <w:tcPr>
            <w:tcW w:type="dxa" w:w="3168"/>
            <w:vAlign w:val="center"/>
          </w:tcPr>
          <w:p>
            <w:r>
              <w:rPr>
                <w:sz w:val="13"/>
              </w:rPr>
              <w:t>Toujours local + englobant relationnel.</w:t>
            </w:r>
          </w:p>
        </w:tc>
        <w:tc>
          <w:tcPr>
            <w:tcW w:type="dxa" w:w="4392"/>
            <w:vAlign w:val="center"/>
          </w:tcPr>
          <w:p>
            <w:r>
              <w:rPr>
                <w:sz w:val="13"/>
              </w:rPr>
              <w:t>Empêche l’optimum local aveugle aux voisins et fixe la paire minimale de calcul.</w:t>
            </w:r>
          </w:p>
        </w:tc>
        <w:tc>
          <w:tcPr>
            <w:tcW w:type="dxa" w:w="1901"/>
            <w:vAlign w:val="center"/>
          </w:tcPr>
          <w:p>
            <w:pPr>
              <w:jc w:val="center"/>
            </w:pPr>
            <w:r>
              <w:rPr>
                <w:b/>
                <w:color w:val="1F4E79"/>
                <w:sz w:val="14"/>
              </w:rPr>
              <w:t>PASS</w:t>
            </w:r>
          </w:p>
        </w:tc>
      </w:tr>
      <w:tr>
        <w:tc>
          <w:tcPr>
            <w:tcW w:type="dxa" w:w="576"/>
            <w:vAlign w:val="center"/>
          </w:tcPr>
          <w:p>
            <w:pPr>
              <w:jc w:val="center"/>
            </w:pPr>
            <w:r>
              <w:rPr>
                <w:sz w:val="14"/>
              </w:rPr>
              <w:t>5</w:t>
            </w:r>
          </w:p>
        </w:tc>
        <w:tc>
          <w:tcPr>
            <w:tcW w:type="dxa" w:w="3168"/>
            <w:vAlign w:val="center"/>
          </w:tcPr>
          <w:p>
            <w:r>
              <w:rPr>
                <w:sz w:val="13"/>
              </w:rPr>
              <w:t>La finesse vient des proxys et interactions voisines.</w:t>
            </w:r>
          </w:p>
        </w:tc>
        <w:tc>
          <w:tcPr>
            <w:tcW w:type="dxa" w:w="4392"/>
            <w:vAlign w:val="center"/>
          </w:tcPr>
          <w:p>
            <w:r>
              <w:rPr>
                <w:sz w:val="13"/>
              </w:rPr>
              <w:t>Localise la résolution réelle ; plus de décimales n’aident que si elles sont calibrées et causales.</w:t>
            </w:r>
          </w:p>
        </w:tc>
        <w:tc>
          <w:tcPr>
            <w:tcW w:type="dxa" w:w="1901"/>
            <w:vAlign w:val="center"/>
          </w:tcPr>
          <w:p>
            <w:pPr>
              <w:jc w:val="center"/>
            </w:pPr>
            <w:r>
              <w:rPr>
                <w:b/>
                <w:color w:val="1F4E79"/>
                <w:sz w:val="14"/>
              </w:rPr>
              <w:t>BORNÉ</w:t>
            </w:r>
          </w:p>
        </w:tc>
      </w:tr>
      <w:tr>
        <w:tc>
          <w:tcPr>
            <w:tcW w:type="dxa" w:w="576"/>
            <w:vAlign w:val="center"/>
          </w:tcPr>
          <w:p>
            <w:pPr>
              <w:jc w:val="center"/>
            </w:pPr>
            <w:r>
              <w:rPr>
                <w:sz w:val="14"/>
              </w:rPr>
              <w:t>6</w:t>
            </w:r>
          </w:p>
        </w:tc>
        <w:tc>
          <w:tcPr>
            <w:tcW w:type="dxa" w:w="3168"/>
            <w:vAlign w:val="center"/>
          </w:tcPr>
          <w:p>
            <w:r>
              <w:rPr>
                <w:sz w:val="13"/>
              </w:rPr>
              <w:t>Chaque objet affecté porte son propre écart ; l’englobant porte l’écart induit dans ses proxys et applique sa compensation.</w:t>
            </w:r>
          </w:p>
        </w:tc>
        <w:tc>
          <w:tcPr>
            <w:tcW w:type="dxa" w:w="4392"/>
            <w:vAlign w:val="center"/>
          </w:tcPr>
          <w:p>
            <w:r>
              <w:rPr>
                <w:sz w:val="13"/>
              </w:rPr>
              <w:t>Sépare les écarts propres aux différents objets de l’action corrective, sans propriété exclusive ni transfert d’identité.</w:t>
            </w:r>
          </w:p>
        </w:tc>
        <w:tc>
          <w:tcPr>
            <w:tcW w:type="dxa" w:w="1901"/>
            <w:vAlign w:val="center"/>
          </w:tcPr>
          <w:p>
            <w:r>
              <w:t>BORNÉ</w:t>
            </w:r>
          </w:p>
        </w:tc>
      </w:tr>
      <w:tr>
        <w:tc>
          <w:tcPr>
            <w:tcW w:type="dxa" w:w="576"/>
            <w:vAlign w:val="center"/>
          </w:tcPr>
          <w:p>
            <w:pPr>
              <w:jc w:val="center"/>
            </w:pPr>
            <w:r>
              <w:rPr>
                <w:sz w:val="14"/>
              </w:rPr>
              <w:t>7</w:t>
            </w:r>
          </w:p>
        </w:tc>
        <w:tc>
          <w:tcPr>
            <w:tcW w:type="dxa" w:w="3168"/>
            <w:vAlign w:val="center"/>
          </w:tcPr>
          <w:p>
            <w:r>
              <w:rPr>
                <w:sz w:val="13"/>
              </w:rPr>
              <w:t>Le temps est le temps supplémentaire de résorption fonctionnelle et d’exposition.</w:t>
            </w:r>
          </w:p>
        </w:tc>
        <w:tc>
          <w:tcPr>
            <w:tcW w:type="dxa" w:w="4392"/>
            <w:vAlign w:val="center"/>
          </w:tcPr>
          <w:p>
            <w:r>
              <w:rPr>
                <w:sz w:val="13"/>
              </w:rPr>
              <w:t>Relie dette, durée et casse sans faire du temps la cause de la dette.</w:t>
            </w:r>
          </w:p>
        </w:tc>
        <w:tc>
          <w:tcPr>
            <w:tcW w:type="dxa" w:w="1901"/>
            <w:vAlign w:val="center"/>
          </w:tcPr>
          <w:p>
            <w:pPr>
              <w:jc w:val="center"/>
            </w:pPr>
            <w:r>
              <w:rPr>
                <w:b/>
                <w:color w:val="1F4E79"/>
                <w:sz w:val="14"/>
              </w:rPr>
              <w:t>BORNÉ</w:t>
            </w:r>
          </w:p>
        </w:tc>
      </w:tr>
    </w:tbl>
    <w:p>
      <w:pPr>
        <w:pageBreakBefore/>
        <w:spacing w:before="120" w:after="60"/>
      </w:pPr>
      <w:r>
        <w:rPr>
          <w:b/>
          <w:color w:val="2F7DBE"/>
          <w:sz w:val="22"/>
        </w:rPr>
        <w:t>46.2 Corrections 8 à 14 — des objets simples au porteur de dette</w:t>
      </w:r>
    </w:p>
    <w:tbl>
      <w:tblPr>
        <w:tblStyle w:val="TableGrid"/>
        <w:tblW w:type="auto" w:w="0"/>
        <w:tblLook w:firstColumn="1" w:firstRow="1" w:lastColumn="0" w:lastRow="0" w:noHBand="0" w:noVBand="1" w:val="04A0"/>
      </w:tblPr>
      <w:tblGrid>
        <w:gridCol w:w="2592"/>
        <w:gridCol w:w="2592"/>
        <w:gridCol w:w="2592"/>
        <w:gridCol w:w="2592"/>
      </w:tblGrid>
      <w:tr>
        <w:tc>
          <w:tcPr>
            <w:tcW w:type="dxa" w:w="576"/>
            <w:shd w:fill="D9EAF7"/>
          </w:tcPr>
          <w:p>
            <w:r>
              <w:rPr>
                <w:b/>
                <w:color w:val="1F4E79"/>
                <w:sz w:val="15"/>
              </w:rPr>
              <w:t>N°</w:t>
            </w:r>
          </w:p>
        </w:tc>
        <w:tc>
          <w:tcPr>
            <w:tcW w:type="dxa" w:w="3168"/>
            <w:shd w:fill="D9EAF7"/>
          </w:tcPr>
          <w:p>
            <w:r>
              <w:rPr>
                <w:b/>
                <w:color w:val="1F4E79"/>
                <w:sz w:val="15"/>
              </w:rPr>
              <w:t>Simplification de Fred</w:t>
            </w:r>
          </w:p>
        </w:tc>
        <w:tc>
          <w:tcPr>
            <w:tcW w:type="dxa" w:w="4392"/>
            <w:shd w:fill="D9EAF7"/>
          </w:tcPr>
          <w:p>
            <w:r>
              <w:rPr>
                <w:b/>
                <w:color w:val="1F4E79"/>
                <w:sz w:val="15"/>
              </w:rPr>
              <w:t>Apport à la réflexion</w:t>
            </w:r>
          </w:p>
        </w:tc>
        <w:tc>
          <w:tcPr>
            <w:tcW w:type="dxa" w:w="1901"/>
            <w:shd w:fill="D9EAF7"/>
          </w:tcPr>
          <w:p>
            <w:r>
              <w:rPr>
                <w:b/>
                <w:color w:val="1F4E79"/>
                <w:sz w:val="15"/>
              </w:rPr>
              <w:t>Verdict</w:t>
            </w:r>
          </w:p>
        </w:tc>
      </w:tr>
      <w:tr>
        <w:tc>
          <w:tcPr>
            <w:tcW w:type="dxa" w:w="576"/>
            <w:vAlign w:val="center"/>
          </w:tcPr>
          <w:p>
            <w:pPr>
              <w:jc w:val="center"/>
            </w:pPr>
            <w:r>
              <w:rPr>
                <w:sz w:val="14"/>
              </w:rPr>
              <w:t>8</w:t>
            </w:r>
          </w:p>
        </w:tc>
        <w:tc>
          <w:tcPr>
            <w:tcW w:type="dxa" w:w="3168"/>
            <w:vAlign w:val="center"/>
          </w:tcPr>
          <w:p>
            <w:r>
              <w:rPr>
                <w:sz w:val="13"/>
              </w:rPr>
              <w:t>Tout énoncé doit passer un calcul multicadre.</w:t>
            </w:r>
          </w:p>
        </w:tc>
        <w:tc>
          <w:tcPr>
            <w:tcW w:type="dxa" w:w="4392"/>
            <w:vAlign w:val="center"/>
          </w:tcPr>
          <w:p>
            <w:r>
              <w:rPr>
                <w:sz w:val="13"/>
              </w:rPr>
              <w:t>Bloque la validation par moyenne et rend visibles les cadres absents : NON_MESURÉ.</w:t>
            </w:r>
          </w:p>
        </w:tc>
        <w:tc>
          <w:tcPr>
            <w:tcW w:type="dxa" w:w="1901"/>
            <w:vAlign w:val="center"/>
          </w:tcPr>
          <w:p>
            <w:pPr>
              <w:jc w:val="center"/>
            </w:pPr>
            <w:r>
              <w:rPr>
                <w:b/>
                <w:color w:val="1F4E79"/>
                <w:sz w:val="14"/>
              </w:rPr>
              <w:t>PASS</w:t>
            </w:r>
          </w:p>
        </w:tc>
      </w:tr>
      <w:tr>
        <w:tc>
          <w:tcPr>
            <w:tcW w:type="dxa" w:w="576"/>
            <w:vAlign w:val="center"/>
          </w:tcPr>
          <w:p>
            <w:pPr>
              <w:jc w:val="center"/>
            </w:pPr>
            <w:r>
              <w:rPr>
                <w:sz w:val="14"/>
              </w:rPr>
              <w:t>9</w:t>
            </w:r>
          </w:p>
        </w:tc>
        <w:tc>
          <w:tcPr>
            <w:tcW w:type="dxa" w:w="3168"/>
            <w:vAlign w:val="center"/>
          </w:tcPr>
          <w:p>
            <w:r>
              <w:rPr>
                <w:sz w:val="13"/>
              </w:rPr>
              <w:t>Tester un objet simple, puis six objets différents.</w:t>
            </w:r>
          </w:p>
        </w:tc>
        <w:tc>
          <w:tcPr>
            <w:tcW w:type="dxa" w:w="4392"/>
            <w:vAlign w:val="center"/>
          </w:tcPr>
          <w:p>
            <w:r>
              <w:rPr>
                <w:sz w:val="13"/>
              </w:rPr>
              <w:t>Fait apparaître les bornes intuitives avant les équations et réduit la complexité prématurée.</w:t>
            </w:r>
          </w:p>
        </w:tc>
        <w:tc>
          <w:tcPr>
            <w:tcW w:type="dxa" w:w="1901"/>
            <w:vAlign w:val="center"/>
          </w:tcPr>
          <w:p>
            <w:pPr>
              <w:jc w:val="center"/>
            </w:pPr>
            <w:r>
              <w:rPr>
                <w:b/>
                <w:color w:val="1F4E79"/>
                <w:sz w:val="14"/>
              </w:rPr>
              <w:t>PASS</w:t>
            </w:r>
          </w:p>
        </w:tc>
      </w:tr>
      <w:tr>
        <w:tc>
          <w:tcPr>
            <w:tcW w:type="dxa" w:w="576"/>
            <w:vAlign w:val="center"/>
          </w:tcPr>
          <w:p>
            <w:pPr>
              <w:jc w:val="center"/>
            </w:pPr>
            <w:r>
              <w:rPr>
                <w:sz w:val="14"/>
              </w:rPr>
              <w:t>10</w:t>
            </w:r>
          </w:p>
        </w:tc>
        <w:tc>
          <w:tcPr>
            <w:tcW w:type="dxa" w:w="3168"/>
            <w:vAlign w:val="center"/>
          </w:tcPr>
          <w:p>
            <w:r>
              <w:rPr>
                <w:sz w:val="13"/>
              </w:rPr>
              <w:t>Plus de cadres supérieurs affine la dette.</w:t>
            </w:r>
          </w:p>
        </w:tc>
        <w:tc>
          <w:tcPr>
            <w:tcW w:type="dxa" w:w="4392"/>
            <w:vAlign w:val="center"/>
          </w:tcPr>
          <w:p>
            <w:r>
              <w:rPr>
                <w:sz w:val="13"/>
              </w:rPr>
              <w:t>Vrai seulement si les cadres et proxys ajoutés réduisent l’incertitude ; sinon ils augmentent σ.</w:t>
            </w:r>
          </w:p>
        </w:tc>
        <w:tc>
          <w:tcPr>
            <w:tcW w:type="dxa" w:w="1901"/>
            <w:vAlign w:val="center"/>
          </w:tcPr>
          <w:p>
            <w:pPr>
              <w:jc w:val="center"/>
            </w:pPr>
            <w:r>
              <w:rPr>
                <w:b/>
                <w:color w:val="1F4E79"/>
                <w:sz w:val="14"/>
              </w:rPr>
              <w:t>BORNÉ</w:t>
            </w:r>
          </w:p>
        </w:tc>
      </w:tr>
      <w:tr>
        <w:tc>
          <w:tcPr>
            <w:tcW w:type="dxa" w:w="576"/>
            <w:vAlign w:val="center"/>
          </w:tcPr>
          <w:p>
            <w:pPr>
              <w:jc w:val="center"/>
            </w:pPr>
            <w:r>
              <w:rPr>
                <w:sz w:val="14"/>
              </w:rPr>
              <w:t>11</w:t>
            </w:r>
          </w:p>
        </w:tc>
        <w:tc>
          <w:tcPr>
            <w:tcW w:type="dxa" w:w="3168"/>
            <w:vAlign w:val="center"/>
          </w:tcPr>
          <w:p>
            <w:r>
              <w:rPr>
                <w:sz w:val="13"/>
              </w:rPr>
              <w:t>La chaîne terrestre ne s’arrête jamais avant la planète.</w:t>
            </w:r>
          </w:p>
        </w:tc>
        <w:tc>
          <w:tcPr>
            <w:tcW w:type="dxa" w:w="4392"/>
            <w:vAlign w:val="center"/>
          </w:tcPr>
          <w:p>
            <w:r>
              <w:rPr>
                <w:sz w:val="13"/>
              </w:rPr>
              <w:t>Fixe le terminal comptable humain ; l’Univers reste ultime mais NON_MESURÉ.</w:t>
            </w:r>
          </w:p>
        </w:tc>
        <w:tc>
          <w:tcPr>
            <w:tcW w:type="dxa" w:w="1901"/>
            <w:vAlign w:val="center"/>
          </w:tcPr>
          <w:p>
            <w:pPr>
              <w:jc w:val="center"/>
            </w:pPr>
            <w:r>
              <w:rPr>
                <w:b/>
                <w:color w:val="1F4E79"/>
                <w:sz w:val="14"/>
              </w:rPr>
              <w:t>BORNÉ</w:t>
            </w:r>
          </w:p>
        </w:tc>
      </w:tr>
      <w:tr>
        <w:tc>
          <w:tcPr>
            <w:tcW w:type="dxa" w:w="576"/>
            <w:vAlign w:val="center"/>
          </w:tcPr>
          <w:p>
            <w:pPr>
              <w:jc w:val="center"/>
            </w:pPr>
            <w:r>
              <w:rPr>
                <w:sz w:val="14"/>
              </w:rPr>
              <w:t>12</w:t>
            </w:r>
          </w:p>
        </w:tc>
        <w:tc>
          <w:tcPr>
            <w:tcW w:type="dxa" w:w="3168"/>
            <w:vAlign w:val="center"/>
          </w:tcPr>
          <w:p>
            <w:r>
              <w:rPr>
                <w:sz w:val="13"/>
              </w:rPr>
              <w:t>Formulation initiale : la planète finit par « éliminer » la dette.</w:t>
            </w:r>
          </w:p>
        </w:tc>
        <w:tc>
          <w:tcPr>
            <w:tcW w:type="dxa" w:w="4392"/>
            <w:vAlign w:val="center"/>
          </w:tcPr>
          <w:p>
            <w:r>
              <w:rPr>
                <w:sz w:val="13"/>
              </w:rPr>
              <w:t>Auto-correction de Fred : la planète porte et compense la dette ; elle ne la fait pas disparaître.</w:t>
            </w:r>
          </w:p>
        </w:tc>
        <w:tc>
          <w:tcPr>
            <w:tcW w:type="dxa" w:w="1901"/>
            <w:vAlign w:val="center"/>
          </w:tcPr>
          <w:p>
            <w:pPr>
              <w:jc w:val="center"/>
            </w:pPr>
            <w:r>
              <w:rPr>
                <w:b/>
                <w:color w:val="1F4E79"/>
                <w:sz w:val="14"/>
              </w:rPr>
              <w:t>AUTO-CORR.</w:t>
            </w:r>
          </w:p>
        </w:tc>
      </w:tr>
      <w:tr>
        <w:tc>
          <w:tcPr>
            <w:tcW w:type="dxa" w:w="576"/>
            <w:vAlign w:val="center"/>
          </w:tcPr>
          <w:p>
            <w:pPr>
              <w:jc w:val="center"/>
            </w:pPr>
            <w:r>
              <w:rPr>
                <w:sz w:val="14"/>
              </w:rPr>
              <w:t>13</w:t>
            </w:r>
          </w:p>
        </w:tc>
        <w:tc>
          <w:tcPr>
            <w:tcW w:type="dxa" w:w="3168"/>
            <w:vAlign w:val="center"/>
          </w:tcPr>
          <w:p>
            <w:r>
              <w:rPr>
                <w:sz w:val="13"/>
              </w:rPr>
              <w:t>Le verre existe naturellement.</w:t>
            </w:r>
          </w:p>
        </w:tc>
        <w:tc>
          <w:tcPr>
            <w:tcW w:type="dxa" w:w="4392"/>
            <w:vAlign w:val="center"/>
          </w:tcPr>
          <w:p>
            <w:r>
              <w:rPr>
                <w:sz w:val="13"/>
              </w:rPr>
              <w:t>Détruit l’équivalence matière persistante = dette et impose un écart au référentiel planétaire.</w:t>
            </w:r>
          </w:p>
        </w:tc>
        <w:tc>
          <w:tcPr>
            <w:tcW w:type="dxa" w:w="1901"/>
            <w:vAlign w:val="center"/>
          </w:tcPr>
          <w:p>
            <w:pPr>
              <w:jc w:val="center"/>
            </w:pPr>
            <w:r>
              <w:rPr>
                <w:b/>
                <w:color w:val="1F4E79"/>
                <w:sz w:val="14"/>
              </w:rPr>
              <w:t>PASS</w:t>
            </w:r>
          </w:p>
        </w:tc>
      </w:tr>
      <w:tr>
        <w:tc>
          <w:tcPr>
            <w:tcW w:type="dxa" w:w="576"/>
            <w:vAlign w:val="center"/>
          </w:tcPr>
          <w:p>
            <w:pPr>
              <w:jc w:val="center"/>
            </w:pPr>
            <w:r>
              <w:rPr>
                <w:sz w:val="14"/>
              </w:rPr>
              <w:t>14</w:t>
            </w:r>
          </w:p>
        </w:tc>
        <w:tc>
          <w:tcPr>
            <w:tcW w:type="dxa" w:w="3168"/>
            <w:vAlign w:val="center"/>
          </w:tcPr>
          <w:p>
            <w:r>
              <w:rPr>
                <w:sz w:val="13"/>
              </w:rPr>
              <w:t>La dette appartient à l’objet englobant.</w:t>
            </w:r>
          </w:p>
        </w:tc>
        <w:tc>
          <w:tcPr>
            <w:tcW w:type="dxa" w:w="4392"/>
            <w:vAlign w:val="center"/>
          </w:tcPr>
          <w:p>
            <w:r>
              <w:rPr>
                <w:sz w:val="13"/>
              </w:rPr>
              <w:t>Le rôle est relatif : l’objet local peut porter une dette interne et le supérieur une dette relationnelle distincte ; aucune addition sans transformation causale.</w:t>
            </w:r>
          </w:p>
        </w:tc>
        <w:tc>
          <w:tcPr>
            <w:tcW w:type="dxa" w:w="1901"/>
            <w:vAlign w:val="center"/>
          </w:tcPr>
          <w:p>
            <w:pPr>
              <w:jc w:val="center"/>
            </w:pPr>
            <w:r>
              <w:rPr>
                <w:b/>
                <w:color w:val="1F4E79"/>
                <w:sz w:val="14"/>
              </w:rPr>
              <w:t>BORNÉ</w:t>
            </w:r>
          </w:p>
        </w:tc>
      </w:tr>
    </w:tbl>
    <w:p>
      <w:pPr>
        <w:spacing w:before="120" w:after="60"/>
      </w:pPr>
      <w:r>
        <w:rPr>
          <w:b/>
          <w:color w:val="2F7DBE"/>
          <w:sz w:val="22"/>
        </w:rPr>
        <w:t>46.3 Calcul observable de la session</w:t>
      </w:r>
    </w:p>
    <w:p>
      <w:pPr>
        <w:pStyle w:val="ListBullet"/>
        <w:spacing w:after="16"/>
      </w:pPr>
      <w:r>
        <w:rPr>
          <w:sz w:val="17"/>
        </w:rPr>
        <w:t>Premier passage : 13 propositions sur 14 retenues, soit 92,9 %. État final : 7 PASS, 6 BORNÉES, 1 AUTO-CORRIGÉE ; aucune formulation finale rejetée.</w:t>
      </w:r>
    </w:p>
    <w:p>
      <w:pPr>
        <w:pStyle w:val="ListBullet"/>
        <w:spacing w:after="16"/>
      </w:pPr>
      <w:r>
        <w:rPr>
          <w:sz w:val="17"/>
        </w:rPr>
        <w:t>Confusions catégorielles résolues : possible/admissible ; objet/cadre ; cause/porteur ; fonctionnement/compensation ; compensation active/résorption ; matière/organisation ; persistance/dette ; dette/temps ; terminal/ultime.</w:t>
      </w:r>
    </w:p>
    <w:p>
      <w:pPr>
        <w:pStyle w:val="ListBullet"/>
        <w:spacing w:after="16"/>
      </w:pPr>
      <w:r>
        <w:rPr>
          <w:sz w:val="17"/>
        </w:rPr>
        <w:t>Ce comptage mesure la trace décisionnelle de cette session. Il ne constitue pas un score canonique S et ne mesure pas une intelligence générale.</w:t>
      </w:r>
    </w:p>
    <w:p>
      <w:pPr>
        <w:spacing w:before="120" w:after="60"/>
      </w:pPr>
      <w:r>
        <w:rPr>
          <w:b/>
          <w:color w:val="2F7DBE"/>
          <w:sz w:val="22"/>
        </w:rPr>
        <w:t>46.4 Comparaison des deux modes de raisonnement</w:t>
      </w:r>
    </w:p>
    <w:p>
      <w:pPr>
        <w:pStyle w:val="ListBullet"/>
        <w:spacing w:after="16"/>
      </w:pPr>
      <w:r>
        <w:rPr>
          <w:sz w:val="17"/>
        </w:rPr>
        <w:t>Fred domine ici la représentation minimale du problème : invariant simple, changement d’angle, contre-exemple concret et remontée causale jusqu’à l’englobant.</w:t>
      </w:r>
    </w:p>
    <w:p>
      <w:pPr>
        <w:pStyle w:val="ListBullet"/>
        <w:spacing w:after="16"/>
      </w:pPr>
      <w:r>
        <w:rPr>
          <w:sz w:val="17"/>
        </w:rPr>
        <w:t>L’assistant apporte surtout l’instrumentation : références préfixées, distinction perturbation/dette/rupture, identifiabilité, non-double-comptage et statut NON_MESURÉ.</w:t>
      </w:r>
    </w:p>
    <w:p>
      <w:pPr>
        <w:pStyle w:val="ListBullet"/>
        <w:spacing w:after="16"/>
      </w:pPr>
      <w:r>
        <w:rPr>
          <w:sz w:val="17"/>
        </w:rPr>
        <w:t>Défaut observé de l’assistant : formaliser trop tôt, multiplier les variables et traiter une difficulté de cadrage comme un besoin de calcul.</w:t>
      </w:r>
    </w:p>
    <w:p>
      <w:pPr>
        <w:pStyle w:val="ListBullet"/>
        <w:spacing w:after="16"/>
      </w:pPr>
      <w:r>
        <w:rPr>
          <w:sz w:val="17"/>
        </w:rPr>
        <w:t>Défaut possible de la méthode simple : universaliser un terme avant le contre-test ; Fred a corrigé lui-même « éliminer » en « compenser ».</w:t>
      </w:r>
    </w:p>
    <w:p>
      <w:pPr>
        <w:jc w:val="center"/>
      </w:pPr>
      <w:r>
        <w:rPr>
          <w:b/>
          <w:color w:val="1F4E79"/>
          <w:sz w:val="19"/>
        </w:rPr>
        <w:t>Comparaison ordinale : β↑, ΔΦ↑, T↓, σ↓ ; S_fin &gt; S_début — scalaire NON_MESURÉ</w:t>
      </w:r>
    </w:p>
    <w:p>
      <w:pPr>
        <w:pageBreakBefore/>
        <w:spacing w:before="120" w:after="60"/>
      </w:pPr>
      <w:r>
        <w:rPr>
          <w:b/>
          <w:color w:val="2F7DBE"/>
          <w:sz w:val="28"/>
        </w:rPr>
        <w:t>SECTION 47 — Méthode Fred — épuration causale multicadre obligatoire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RÈGLE — L’assistant doit adopter l’ordre de raisonnement qui a produit les meilleures bornes dans cette session : épurer, falsifier simplement, tester la diversité, remonter les cadres, puis seulement calculer. Toute complexité doit payer sa propre dette.</w:t>
            </w:r>
          </w:p>
        </w:tc>
      </w:tr>
    </w:tbl>
    <w:p>
      <w:pPr>
        <w:spacing w:before="120" w:after="60"/>
      </w:pPr>
      <w:r>
        <w:rPr>
          <w:b/>
          <w:color w:val="2F7DBE"/>
          <w:sz w:val="22"/>
        </w:rPr>
        <w:t>47.1 Protocole obligatoire</w:t>
      </w:r>
    </w:p>
    <w:p>
      <w:pPr>
        <w:pStyle w:val="ListNumber"/>
        <w:spacing w:after="20"/>
        <w:numPr>
          <w:ilvl w:val="0"/>
          <w:numId w:val="12"/>
        </w:numPr>
      </w:pPr>
      <w:r>
        <w:rPr>
          <w:sz w:val="18"/>
        </w:rPr>
        <w:t>Énoncer l’hypothèse en une phrase et nommer ce qu’elle exclut.</w:t>
      </w:r>
    </w:p>
    <w:p>
      <w:pPr>
        <w:pStyle w:val="ListNumber"/>
        <w:spacing w:after="20"/>
        <w:numPr>
          <w:ilvl w:val="0"/>
          <w:numId w:val="12"/>
        </w:numPr>
      </w:pPr>
      <w:r>
        <w:rPr>
          <w:sz w:val="18"/>
        </w:rPr>
        <w:t>Chercher d’abord le contre-exemple intuitif qui suffirait à la rejeter.</w:t>
      </w:r>
    </w:p>
    <w:p>
      <w:pPr>
        <w:pStyle w:val="ListNumber"/>
        <w:spacing w:after="20"/>
        <w:numPr>
          <w:ilvl w:val="0"/>
          <w:numId w:val="12"/>
        </w:numPr>
      </w:pPr>
      <w:r>
        <w:rPr>
          <w:sz w:val="18"/>
        </w:rPr>
        <w:t>Tester un objet ordinaire sans calcul ; si l’hypothèse échoue, l’arrêter immédiatement.</w:t>
      </w:r>
    </w:p>
    <w:p>
      <w:pPr>
        <w:pStyle w:val="ListNumber"/>
        <w:spacing w:after="20"/>
        <w:numPr>
          <w:ilvl w:val="0"/>
          <w:numId w:val="12"/>
        </w:numPr>
      </w:pPr>
      <w:r>
        <w:rPr>
          <w:sz w:val="18"/>
        </w:rPr>
        <w:t>La passer ensuite sur cinq autres objets simples et réellement différents.</w:t>
      </w:r>
    </w:p>
    <w:p>
      <w:pPr>
        <w:pStyle w:val="ListNumber"/>
        <w:spacing w:after="20"/>
        <w:numPr>
          <w:ilvl w:val="0"/>
          <w:numId w:val="12"/>
        </w:numPr>
      </w:pPr>
      <w:r>
        <w:rPr>
          <w:sz w:val="18"/>
        </w:rPr>
        <w:t>Fixer avant l’essai la référence, la fonction et la compensation normale.</w:t>
      </w:r>
    </w:p>
    <w:p>
      <w:pPr>
        <w:pStyle w:val="ListNumber"/>
        <w:spacing w:after="20"/>
        <w:numPr>
          <w:ilvl w:val="0"/>
          <w:numId w:val="12"/>
        </w:numPr>
      </w:pPr>
      <w:r>
        <w:rPr>
          <w:sz w:val="18"/>
        </w:rPr>
        <w:t>Identifier l’objet local, ses voisins, le premier objet englobant et le porteur de la dette.</w:t>
      </w:r>
    </w:p>
    <w:p>
      <w:pPr>
        <w:pStyle w:val="ListNumber"/>
        <w:spacing w:after="20"/>
        <w:numPr>
          <w:ilvl w:val="0"/>
          <w:numId w:val="12"/>
        </w:numPr>
      </w:pPr>
      <w:r>
        <w:rPr>
          <w:sz w:val="18"/>
        </w:rPr>
        <w:t>Séparer matière, organisation, écart, compensation, durée et rupture.</w:t>
      </w:r>
    </w:p>
    <w:p>
      <w:pPr>
        <w:pStyle w:val="ListNumber"/>
        <w:spacing w:after="20"/>
        <w:numPr>
          <w:ilvl w:val="0"/>
          <w:numId w:val="12"/>
        </w:numPr>
      </w:pPr>
      <w:r>
        <w:rPr>
          <w:sz w:val="18"/>
        </w:rPr>
        <w:t>Remonter le résidu à travers les cadres jusqu’à la planète ; les cadres sautés sont agrégés, jamais absents.</w:t>
      </w:r>
    </w:p>
    <w:p>
      <w:pPr>
        <w:pStyle w:val="ListNumber"/>
        <w:spacing w:after="20"/>
        <w:numPr>
          <w:ilvl w:val="0"/>
          <w:numId w:val="12"/>
        </w:numPr>
      </w:pPr>
      <w:r>
        <w:rPr>
          <w:sz w:val="18"/>
        </w:rPr>
        <w:t>N’ajouter équations, proxys et décimales que s’ils réduisent une incertitude causale identifiée.</w:t>
      </w:r>
    </w:p>
    <w:p>
      <w:pPr>
        <w:pStyle w:val="ListNumber"/>
        <w:spacing w:after="20"/>
        <w:numPr>
          <w:ilvl w:val="0"/>
          <w:numId w:val="12"/>
        </w:numPr>
      </w:pPr>
      <w:r>
        <w:rPr>
          <w:sz w:val="18"/>
        </w:rPr>
        <w:t>Calculer enfin chaque cadre sans moyenne masquante ; tout cadre ou effet absent reste NON_MESURÉ.</w:t>
      </w:r>
    </w:p>
    <w:p>
      <w:pPr>
        <w:spacing w:before="120" w:after="60"/>
      </w:pPr>
      <w:r>
        <w:rPr>
          <w:b/>
          <w:color w:val="2F7DBE"/>
          <w:sz w:val="22"/>
        </w:rPr>
        <w:t>47.2 Porte d’arrêt de l’assistant</w:t>
      </w:r>
    </w:p>
    <w:p>
      <w:pPr>
        <w:pStyle w:val="ListBullet"/>
        <w:spacing w:after="16"/>
      </w:pPr>
      <w:r>
        <w:rPr>
          <w:sz w:val="17"/>
        </w:rPr>
        <w:t>Si l’explication devient plus longue sans nouvelle borne, arrêter et reformuler en une phrase.</w:t>
      </w:r>
    </w:p>
    <w:p>
      <w:pPr>
        <w:pStyle w:val="ListBullet"/>
        <w:spacing w:after="16"/>
      </w:pPr>
      <w:r>
        <w:rPr>
          <w:sz w:val="17"/>
        </w:rPr>
        <w:t>Si une variable n’a pas de proxy calibré, ne pas la chiffrer.</w:t>
      </w:r>
    </w:p>
    <w:p>
      <w:pPr>
        <w:pStyle w:val="ListBullet"/>
        <w:spacing w:after="16"/>
      </w:pPr>
      <w:r>
        <w:rPr>
          <w:sz w:val="17"/>
        </w:rPr>
        <w:t>Si une formalisation n’améliore ni le verdict ni la falsifiabilité, elle constitue une dette conceptuelle et doit être retirée.</w:t>
      </w:r>
    </w:p>
    <w:p>
      <w:pPr>
        <w:pStyle w:val="ListBullet"/>
        <w:spacing w:after="16"/>
      </w:pPr>
      <w:r>
        <w:rPr>
          <w:sz w:val="17"/>
        </w:rPr>
        <w:t>Si Fred apporte une formulation plus simple, la tester prioritairement contre les six objets et les cadres supérieurs avant de défendre l’ancienne construction.</w:t>
      </w:r>
    </w:p>
    <w:p>
      <w:pPr>
        <w:spacing w:before="120" w:after="60"/>
      </w:pPr>
      <w:r>
        <w:rPr>
          <w:b/>
          <w:color w:val="2F7DBE"/>
          <w:sz w:val="22"/>
        </w:rPr>
        <w:t>47.3 Calcul multicadre de la méthode</w:t>
      </w:r>
    </w:p>
    <w:p>
      <w:pPr>
        <w:pStyle w:val="ListBullet"/>
        <w:spacing w:after="16"/>
      </w:pPr>
      <w:r>
        <w:rPr>
          <w:sz w:val="17"/>
        </w:rPr>
        <w:t>Cadre local du raisonnement : PASS — baisse de complexité et direction plus explicite observées.</w:t>
      </w:r>
    </w:p>
    <w:p>
      <w:pPr>
        <w:pStyle w:val="ListBullet"/>
        <w:spacing w:after="16"/>
      </w:pPr>
      <w:r>
        <w:rPr>
          <w:sz w:val="17"/>
        </w:rPr>
        <w:t>Cadre relationnel de la session : PASS — 13 propositions ont passé le premier filtre et la quatorzième a été auto-corrigée.</w:t>
      </w:r>
    </w:p>
    <w:p>
      <w:pPr>
        <w:pStyle w:val="ListBullet"/>
        <w:spacing w:after="16"/>
      </w:pPr>
      <w:r>
        <w:rPr>
          <w:sz w:val="17"/>
        </w:rPr>
        <w:t>Cadres scientifiques supérieurs : NON_MESURÉS — aucun gain empirique externe n’est démontré par cet audit conversationnel.</w:t>
      </w:r>
    </w:p>
    <w:p>
      <w:pPr>
        <w:pStyle w:val="ListBullet"/>
        <w:spacing w:after="16"/>
      </w:pPr>
      <w:r>
        <w:rPr>
          <w:sz w:val="17"/>
        </w:rPr>
        <w:t>Cadre planétaire : NON_MESURÉ — aucune conséquence physique ou environnementale n’est validée par la seule méthode.</w:t>
      </w:r>
    </w:p>
    <w:p>
      <w:pPr>
        <w:pStyle w:val="ListBullet"/>
        <w:spacing w:after="16"/>
      </w:pPr>
      <w:r>
        <w:rPr>
          <w:sz w:val="17"/>
        </w:rPr>
        <w:t>Correspondance exacte de cette méthode avec le corpus canonique : NON_VÉRIFIÉE dans ce passage.</w:t>
      </w:r>
    </w:p>
    <w:p>
      <w:pPr>
        <w:jc w:val="center"/>
      </w:pPr>
      <w:r>
        <w:rPr>
          <w:b/>
          <w:color w:val="1F4E79"/>
          <w:sz w:val="20"/>
        </w:rPr>
        <w:t>S = (β × ΔΦ) / (1 + T + σ) ; S_absolu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8"/>
              </w:rPr>
              <w:t>VERROU — Désormais : intuition minimale → contre-exemple → six objets → local + englobant → chaîne jusqu’à la planète → formalisation utile seulement. L’assistant ne doit plus faire payer au problème la dette de sa propre complexité.</w:t>
            </w:r>
          </w:p>
        </w:tc>
      </w:tr>
    </w:tbl>
    <w:p>
      <w:pPr>
        <w:pageBreakBefore/>
        <w:spacing w:before="120" w:after="60"/>
      </w:pPr>
      <w:r>
        <w:rPr>
          <w:b/>
          <w:color w:val="2F7DBE"/>
          <w:sz w:val="30"/>
        </w:rPr>
        <w:t>SECTION 48 — Dette ≠ compensation — état porté et action corrective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RÉSULTAT — La dette est l’écart causal porté par tout objet affecté par rapport à son état de référence ; chaque objet est englobant de ses propres composants. La compensation est l’action, le flux ou la modification qu’il applique pour réduire cet écart. La compensation mesure éventuellement la dette ; elle ne se confond pas avec elle.</w:t>
            </w:r>
          </w:p>
        </w:tc>
      </w:tr>
    </w:tbl>
    <w:p>
      <w:pPr>
        <w:spacing w:before="120" w:after="60"/>
      </w:pPr>
      <w:r>
        <w:rPr>
          <w:b/>
          <w:color w:val="2F7DBE"/>
          <w:sz w:val="24"/>
        </w:rPr>
        <w:t>48.1 Passage sur six objets simples</w:t>
      </w:r>
    </w:p>
    <w:tbl>
      <w:tblPr>
        <w:tblStyle w:val="TableGrid"/>
        <w:tblW w:type="auto" w:w="0"/>
        <w:tblLook w:firstColumn="1" w:firstRow="1" w:lastColumn="0" w:lastRow="0" w:noHBand="0" w:noVBand="1" w:val="04A0"/>
      </w:tblPr>
      <w:tblGrid>
        <w:gridCol w:w="2592"/>
        <w:gridCol w:w="2592"/>
        <w:gridCol w:w="2592"/>
        <w:gridCol w:w="2592"/>
      </w:tblGrid>
      <w:tr>
        <w:tc>
          <w:tcPr>
            <w:tcW w:type="dxa" w:w="1469"/>
            <w:shd w:fill="D9EAF7"/>
          </w:tcPr>
          <w:p>
            <w:r>
              <w:rPr>
                <w:b/>
                <w:color w:val="1F4E79"/>
                <w:sz w:val="15"/>
              </w:rPr>
              <w:t>Objet local</w:t>
            </w:r>
          </w:p>
        </w:tc>
        <w:tc>
          <w:tcPr>
            <w:tcW w:type="dxa" w:w="2477"/>
            <w:shd w:fill="D9EAF7"/>
          </w:tcPr>
          <w:p>
            <w:r>
              <w:rPr>
                <w:b/>
                <w:color w:val="1F4E79"/>
                <w:sz w:val="15"/>
              </w:rPr>
              <w:t>Objet englobant</w:t>
            </w:r>
          </w:p>
        </w:tc>
        <w:tc>
          <w:tcPr>
            <w:tcW w:type="dxa" w:w="3240"/>
            <w:shd w:fill="D9EAF7"/>
          </w:tcPr>
          <w:p>
            <w:r>
              <w:rPr>
                <w:b/>
                <w:color w:val="1F4E79"/>
                <w:sz w:val="15"/>
              </w:rPr>
              <w:t>Dette de l’englobant</w:t>
            </w:r>
          </w:p>
        </w:tc>
        <w:tc>
          <w:tcPr>
            <w:tcW w:type="dxa" w:w="2851"/>
            <w:shd w:fill="D9EAF7"/>
          </w:tcPr>
          <w:p>
            <w:r>
              <w:rPr>
                <w:b/>
                <w:color w:val="1F4E79"/>
                <w:sz w:val="15"/>
              </w:rPr>
              <w:t>Compensation</w:t>
            </w:r>
          </w:p>
        </w:tc>
      </w:tr>
      <w:tr>
        <w:tc>
          <w:tcPr>
            <w:tcW w:type="dxa" w:w="1469"/>
            <w:vAlign w:val="top"/>
          </w:tcPr>
          <w:p>
            <w:r>
              <w:rPr>
                <w:sz w:val="13"/>
              </w:rPr>
              <w:t>Feuille</w:t>
            </w:r>
          </w:p>
        </w:tc>
        <w:tc>
          <w:tcPr>
            <w:tcW w:type="dxa" w:w="2477"/>
            <w:vAlign w:val="top"/>
          </w:tcPr>
          <w:p>
            <w:r>
              <w:rPr>
                <w:sz w:val="13"/>
              </w:rPr>
              <w:t>Évacuation</w:t>
            </w:r>
          </w:p>
        </w:tc>
        <w:tc>
          <w:tcPr>
            <w:tcW w:type="dxa" w:w="3240"/>
            <w:vAlign w:val="top"/>
          </w:tcPr>
          <w:p>
            <w:r>
              <w:rPr>
                <w:sz w:val="13"/>
              </w:rPr>
              <w:t>Débit ou disponibilité inférieurs à la référence.</w:t>
            </w:r>
          </w:p>
        </w:tc>
        <w:tc>
          <w:tcPr>
            <w:tcW w:type="dxa" w:w="2851"/>
            <w:vAlign w:val="top"/>
          </w:tcPr>
          <w:p>
            <w:r>
              <w:rPr>
                <w:sz w:val="13"/>
              </w:rPr>
              <w:t>Retrait, nettoyage ou action hydraulique supplémentaire.</w:t>
            </w:r>
          </w:p>
        </w:tc>
      </w:tr>
      <w:tr>
        <w:tc>
          <w:tcPr>
            <w:tcW w:type="dxa" w:w="1469"/>
            <w:vAlign w:val="top"/>
          </w:tcPr>
          <w:p>
            <w:r>
              <w:rPr>
                <w:sz w:val="13"/>
              </w:rPr>
              <w:t>Tesson</w:t>
            </w:r>
          </w:p>
        </w:tc>
        <w:tc>
          <w:tcPr>
            <w:tcW w:type="dxa" w:w="2477"/>
            <w:vAlign w:val="top"/>
          </w:tcPr>
          <w:p>
            <w:r>
              <w:rPr>
                <w:sz w:val="13"/>
              </w:rPr>
              <w:t>Passage</w:t>
            </w:r>
          </w:p>
        </w:tc>
        <w:tc>
          <w:tcPr>
            <w:tcW w:type="dxa" w:w="3240"/>
            <w:vAlign w:val="top"/>
          </w:tcPr>
          <w:p>
            <w:r>
              <w:rPr>
                <w:sz w:val="13"/>
              </w:rPr>
              <w:t>Sécurité et accessibilité dégradées.</w:t>
            </w:r>
          </w:p>
        </w:tc>
        <w:tc>
          <w:tcPr>
            <w:tcW w:type="dxa" w:w="2851"/>
            <w:vAlign w:val="top"/>
          </w:tcPr>
          <w:p>
            <w:r>
              <w:rPr>
                <w:sz w:val="13"/>
              </w:rPr>
              <w:t>Protection, collecte puis remise en état.</w:t>
            </w:r>
          </w:p>
        </w:tc>
      </w:tr>
      <w:tr>
        <w:tc>
          <w:tcPr>
            <w:tcW w:type="dxa" w:w="1469"/>
            <w:vAlign w:val="top"/>
          </w:tcPr>
          <w:p>
            <w:r>
              <w:rPr>
                <w:sz w:val="13"/>
              </w:rPr>
              <w:t>Bille d’acier</w:t>
            </w:r>
          </w:p>
        </w:tc>
        <w:tc>
          <w:tcPr>
            <w:tcW w:type="dxa" w:w="2477"/>
            <w:vAlign w:val="top"/>
          </w:tcPr>
          <w:p>
            <w:r>
              <w:rPr>
                <w:sz w:val="13"/>
              </w:rPr>
              <w:t>Roulement</w:t>
            </w:r>
          </w:p>
        </w:tc>
        <w:tc>
          <w:tcPr>
            <w:tcW w:type="dxa" w:w="3240"/>
            <w:vAlign w:val="top"/>
          </w:tcPr>
          <w:p>
            <w:r>
              <w:rPr>
                <w:sz w:val="13"/>
              </w:rPr>
              <w:t>Jeu, frottement ou répartition de charge déviés.</w:t>
            </w:r>
          </w:p>
        </w:tc>
        <w:tc>
          <w:tcPr>
            <w:tcW w:type="dxa" w:w="2851"/>
            <w:vAlign w:val="top"/>
          </w:tcPr>
          <w:p>
            <w:r>
              <w:rPr>
                <w:sz w:val="13"/>
              </w:rPr>
              <w:t>Précharge, lubrification, réglage ou remplacement.</w:t>
            </w:r>
          </w:p>
        </w:tc>
      </w:tr>
      <w:tr>
        <w:tc>
          <w:tcPr>
            <w:tcW w:type="dxa" w:w="1469"/>
            <w:vAlign w:val="top"/>
          </w:tcPr>
          <w:p>
            <w:r>
              <w:rPr>
                <w:sz w:val="13"/>
              </w:rPr>
              <w:t>Élastique</w:t>
            </w:r>
          </w:p>
        </w:tc>
        <w:tc>
          <w:tcPr>
            <w:tcW w:type="dxa" w:w="2477"/>
            <w:vAlign w:val="top"/>
          </w:tcPr>
          <w:p>
            <w:r>
              <w:rPr>
                <w:sz w:val="13"/>
              </w:rPr>
              <w:t>Assemblage</w:t>
            </w:r>
          </w:p>
        </w:tc>
        <w:tc>
          <w:tcPr>
            <w:tcW w:type="dxa" w:w="3240"/>
            <w:vAlign w:val="top"/>
          </w:tcPr>
          <w:p>
            <w:r>
              <w:rPr>
                <w:sz w:val="13"/>
              </w:rPr>
              <w:t>Tension, position ou fonction hors référence.</w:t>
            </w:r>
          </w:p>
        </w:tc>
        <w:tc>
          <w:tcPr>
            <w:tcW w:type="dxa" w:w="2851"/>
            <w:vAlign w:val="top"/>
          </w:tcPr>
          <w:p>
            <w:r>
              <w:rPr>
                <w:sz w:val="13"/>
              </w:rPr>
              <w:t>Force opposée, réglage ou changement de l’élastique.</w:t>
            </w:r>
          </w:p>
        </w:tc>
      </w:tr>
      <w:tr>
        <w:tc>
          <w:tcPr>
            <w:tcW w:type="dxa" w:w="1469"/>
            <w:vAlign w:val="top"/>
          </w:tcPr>
          <w:p>
            <w:r>
              <w:rPr>
                <w:sz w:val="13"/>
              </w:rPr>
              <w:t>Aimant</w:t>
            </w:r>
          </w:p>
        </w:tc>
        <w:tc>
          <w:tcPr>
            <w:tcW w:type="dxa" w:w="2477"/>
            <w:vAlign w:val="top"/>
          </w:tcPr>
          <w:p>
            <w:r>
              <w:rPr>
                <w:sz w:val="13"/>
              </w:rPr>
              <w:t>Dispositif</w:t>
            </w:r>
          </w:p>
        </w:tc>
        <w:tc>
          <w:tcPr>
            <w:tcW w:type="dxa" w:w="3240"/>
            <w:vAlign w:val="top"/>
          </w:tcPr>
          <w:p>
            <w:r>
              <w:rPr>
                <w:sz w:val="13"/>
              </w:rPr>
              <w:t>État ou signal perturbé par l’interaction magnétique.</w:t>
            </w:r>
          </w:p>
        </w:tc>
        <w:tc>
          <w:tcPr>
            <w:tcW w:type="dxa" w:w="2851"/>
            <w:vAlign w:val="top"/>
          </w:tcPr>
          <w:p>
            <w:r>
              <w:rPr>
                <w:sz w:val="13"/>
              </w:rPr>
              <w:t>Éloignement, blindage ou recalibrage.</w:t>
            </w:r>
          </w:p>
        </w:tc>
      </w:tr>
      <w:tr>
        <w:tc>
          <w:tcPr>
            <w:tcW w:type="dxa" w:w="1469"/>
            <w:vAlign w:val="top"/>
          </w:tcPr>
          <w:p>
            <w:r>
              <w:rPr>
                <w:sz w:val="13"/>
              </w:rPr>
              <w:t>Tire-bouchon</w:t>
            </w:r>
          </w:p>
        </w:tc>
        <w:tc>
          <w:tcPr>
            <w:tcW w:type="dxa" w:w="2477"/>
            <w:vAlign w:val="top"/>
          </w:tcPr>
          <w:p>
            <w:r>
              <w:rPr>
                <w:sz w:val="13"/>
              </w:rPr>
              <w:t>Plage ou milieu</w:t>
            </w:r>
          </w:p>
        </w:tc>
        <w:tc>
          <w:tcPr>
            <w:tcW w:type="dxa" w:w="3240"/>
            <w:vAlign w:val="top"/>
          </w:tcPr>
          <w:p>
            <w:r>
              <w:rPr>
                <w:sz w:val="13"/>
              </w:rPr>
              <w:t>Sécurité, distribution matérielle ou interactions altérées.</w:t>
            </w:r>
          </w:p>
        </w:tc>
        <w:tc>
          <w:tcPr>
            <w:tcW w:type="dxa" w:w="2851"/>
            <w:vAlign w:val="top"/>
          </w:tcPr>
          <w:p>
            <w:r>
              <w:rPr>
                <w:sz w:val="13"/>
              </w:rPr>
              <w:t>Collecte, confinement, traitement ou adaptation.</w:t>
            </w:r>
          </w:p>
        </w:tc>
      </w:tr>
    </w:tbl>
    <w:p>
      <w:pPr>
        <w:spacing w:before="120" w:after="60"/>
      </w:pPr>
      <w:r>
        <w:rPr>
          <w:b/>
          <w:color w:val="2F7DBE"/>
          <w:sz w:val="24"/>
        </w:rPr>
        <w:t>48.2 Première remontée — bille → roulement → machine</w:t>
      </w:r>
    </w:p>
    <w:p>
      <w:pPr>
        <w:pStyle w:val="ListBullet"/>
        <w:spacing w:after="16"/>
      </w:pPr>
      <w:r>
        <w:rPr>
          <w:sz w:val="17"/>
        </w:rPr>
        <w:t>La bille induit éventuellement un écart dans le roulement ; le roulement porte alors sa propre dette sur ses proxys de jeu, frottement et charge.</w:t>
      </w:r>
    </w:p>
    <w:p>
      <w:pPr>
        <w:pStyle w:val="ListBullet"/>
        <w:spacing w:after="16"/>
      </w:pPr>
      <w:r>
        <w:rPr>
          <w:sz w:val="17"/>
        </w:rPr>
        <w:t>La cage, le lubrifiant ou le réglage compensent cet écart ; ils ne sont pas la dette.</w:t>
      </w:r>
    </w:p>
    <w:p>
      <w:pPr>
        <w:pStyle w:val="ListBullet"/>
        <w:spacing w:after="16"/>
      </w:pPr>
      <w:r>
        <w:rPr>
          <w:sz w:val="17"/>
        </w:rPr>
        <w:t>La part non compensée modifie la sortie du roulement et peut induire une nouvelle dette dans la machine sur d’autres proxys : vibration, puissance ou précision.</w:t>
      </w:r>
    </w:p>
    <w:p>
      <w:pPr>
        <w:pStyle w:val="ListBullet"/>
        <w:spacing w:after="16"/>
      </w:pPr>
      <w:r>
        <w:rPr>
          <w:sz w:val="17"/>
        </w:rPr>
        <w:t>La dette de la machine n’est pas la dette du roulement copiée ou additionnée : c’est l’effet résiduel transformé dans le nouvel englobant.</w:t>
      </w:r>
    </w:p>
    <w:p>
      <w:pPr>
        <w:spacing w:before="120" w:after="60"/>
      </w:pPr>
      <w:r>
        <w:rPr>
          <w:b/>
          <w:color w:val="2F7DBE"/>
          <w:sz w:val="24"/>
        </w:rPr>
        <w:t>48.3 Borne obtenue</w:t>
      </w:r>
    </w:p>
    <w:p>
      <w:pPr>
        <w:pStyle w:val="ListBullet"/>
        <w:spacing w:after="16"/>
      </w:pPr>
      <w:r>
        <w:rPr>
          <w:sz w:val="17"/>
        </w:rPr>
        <w:t>Dette = état ou profil d’écart. Compensation = action ou profil de réponse. Leur égalité numérique n’est pas présumée.</w:t>
      </w:r>
    </w:p>
    <w:p>
      <w:pPr>
        <w:pStyle w:val="ListBullet"/>
        <w:spacing w:after="16"/>
      </w:pPr>
      <w:r>
        <w:rPr>
          <w:sz w:val="17"/>
        </w:rPr>
        <w:t>La compensation minimale nécessaire peut être un proxy de dette seulement si son unité, son coût, sa durée et son attribution causale sont fixés avant l’essai.</w:t>
      </w:r>
    </w:p>
    <w:p>
      <w:pPr>
        <w:pStyle w:val="ListBullet"/>
        <w:spacing w:after="16"/>
      </w:pPr>
      <w:r>
        <w:rPr>
          <w:sz w:val="17"/>
        </w:rPr>
        <w:t>Compensation active : l’écart réapparaît si l’action cesse. Résorption fonctionnelle : aucune compensation supplémentaire n’est encore requise.</w:t>
      </w:r>
    </w:p>
    <w:p>
      <w:pPr>
        <w:pStyle w:val="ListBullet"/>
        <w:spacing w:after="16"/>
      </w:pPr>
      <w:r>
        <w:rPr>
          <w:sz w:val="17"/>
        </w:rPr>
        <w:t>À chaque changement d’englobant, recalculer la dette avec les proxys de ce cadre ; ne jamais additionner deux représentations du même effet causal.</w:t>
      </w:r>
    </w:p>
    <w:p>
      <w:pPr>
        <w:spacing w:before="120" w:after="60"/>
      </w:pPr>
      <w:r>
        <w:rPr>
          <w:b/>
          <w:color w:val="2F7DBE"/>
          <w:sz w:val="24"/>
        </w:rPr>
        <w:t>48.4 Calcul multicadre obligatoire</w:t>
      </w:r>
    </w:p>
    <w:p>
      <w:pPr>
        <w:pStyle w:val="ListBullet"/>
        <w:spacing w:after="16"/>
      </w:pPr>
      <w:r>
        <w:rPr>
          <w:sz w:val="17"/>
        </w:rPr>
        <w:t>Six couples local–englobant : PASS qualitatif — l’écart d’état et l’action corrective sont séparables dans les six cas.</w:t>
      </w:r>
    </w:p>
    <w:p>
      <w:pPr>
        <w:pStyle w:val="ListBullet"/>
        <w:spacing w:after="16"/>
      </w:pPr>
      <w:r>
        <w:rPr>
          <w:sz w:val="17"/>
        </w:rPr>
        <w:t>Roulement → machine : PASS structurel — le résidu change de représentation au passage de cadre.</w:t>
      </w:r>
    </w:p>
    <w:p>
      <w:pPr>
        <w:pStyle w:val="ListBullet"/>
        <w:spacing w:after="16"/>
      </w:pPr>
      <w:r>
        <w:rPr>
          <w:sz w:val="17"/>
        </w:rPr>
        <w:t>Mesures, unités, coûts et temps de compensation : NON_MESURÉS sans références ni proxys instrumentés.</w:t>
      </w:r>
    </w:p>
    <w:p>
      <w:pPr>
        <w:pStyle w:val="ListBullet"/>
        <w:spacing w:after="16"/>
      </w:pPr>
      <w:r>
        <w:rPr>
          <w:sz w:val="17"/>
        </w:rPr>
        <w:t>Chaîne jusqu’à la planète : obligatoire ; dette et compensation terminales réelles = NON_MESURÉES.</w:t>
      </w:r>
    </w:p>
    <w:p>
      <w:pPr>
        <w:pStyle w:val="ListBullet"/>
        <w:spacing w:after="16"/>
      </w:pPr>
      <w:r>
        <w:rPr>
          <w:sz w:val="17"/>
        </w:rPr>
        <w:t>Correspondance exacte de cette formulation avec le corpus canonique : NON_VÉRIFIÉE dans ce passage.</w:t>
      </w:r>
    </w:p>
    <w:p>
      <w:pPr>
        <w:jc w:val="center"/>
      </w:pPr>
      <w:r>
        <w:rPr>
          <w:b/>
          <w:color w:val="1F4E79"/>
          <w:sz w:val="20"/>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8"/>
              </w:rPr>
              <w:t>VERROU — Ne plus écrire dette = compensation. Chaque objet affecté porte son propre écart ; la compensation est sa réponse. Le résidu peut induire des dettes distinctes dans les objets supérieurs, sans transfert d’identité ni double comptage.</w:t>
            </w:r>
          </w:p>
        </w:tc>
      </w:tr>
    </w:tbl>
    <w:p>
      <w:pPr>
        <w:pageBreakBefore/>
        <w:spacing w:before="120" w:after="60"/>
      </w:pPr>
      <w:r>
        <w:rPr>
          <w:b/>
          <w:color w:val="2F7DBE"/>
          <w:sz w:val="30"/>
        </w:rPr>
        <w:t>SECTION 49 — Dette résiduelle, identité et scission des objets</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RÉSULTAT — Tant qu’un objet conserve son identité et porte un écart interne persistant, il conserve une dette résiduelle propre. Les objets supérieurs peuvent déjà porter une dette de robustesse avant la scission. Lors d’une scission, les dettes se ramifient entre fragments, relations et englobants affectés.</w:t>
            </w:r>
          </w:p>
        </w:tc>
      </w:tr>
    </w:tbl>
    <w:p>
      <w:pPr>
        <w:spacing w:before="120" w:after="60"/>
      </w:pPr>
      <w:r>
        <w:rPr>
          <w:b/>
          <w:color w:val="2F7DBE"/>
          <w:sz w:val="24"/>
        </w:rPr>
        <w:t>49.1 Passage sur six objets simples</w:t>
      </w:r>
    </w:p>
    <w:tbl>
      <w:tblPr>
        <w:tblStyle w:val="TableGrid"/>
        <w:tblW w:type="auto" w:w="0"/>
        <w:tblLook w:firstColumn="1" w:firstRow="1" w:lastColumn="0" w:lastRow="0" w:noHBand="0" w:noVBand="1" w:val="04A0"/>
      </w:tblPr>
      <w:tblGrid>
        <w:gridCol w:w="2592"/>
        <w:gridCol w:w="2592"/>
        <w:gridCol w:w="2592"/>
        <w:gridCol w:w="2592"/>
      </w:tblGrid>
      <w:tr>
        <w:tc>
          <w:tcPr>
            <w:tcW w:type="dxa" w:w="1469"/>
            <w:shd w:fill="D9EAF7"/>
          </w:tcPr>
          <w:p>
            <w:r>
              <w:rPr>
                <w:b/>
                <w:color w:val="1F4E79"/>
                <w:sz w:val="15"/>
              </w:rPr>
              <w:t>Objet</w:t>
            </w:r>
          </w:p>
        </w:tc>
        <w:tc>
          <w:tcPr>
            <w:tcW w:type="dxa" w:w="2794"/>
            <w:shd w:fill="D9EAF7"/>
          </w:tcPr>
          <w:p>
            <w:r>
              <w:rPr>
                <w:b/>
                <w:color w:val="1F4E79"/>
                <w:sz w:val="15"/>
              </w:rPr>
              <w:t>Avant scission</w:t>
            </w:r>
          </w:p>
        </w:tc>
        <w:tc>
          <w:tcPr>
            <w:tcW w:type="dxa" w:w="2693"/>
            <w:shd w:fill="D9EAF7"/>
          </w:tcPr>
          <w:p>
            <w:r>
              <w:rPr>
                <w:b/>
                <w:color w:val="1F4E79"/>
                <w:sz w:val="15"/>
              </w:rPr>
              <w:t>Après scission</w:t>
            </w:r>
          </w:p>
        </w:tc>
        <w:tc>
          <w:tcPr>
            <w:tcW w:type="dxa" w:w="3082"/>
            <w:shd w:fill="D9EAF7"/>
          </w:tcPr>
          <w:p>
            <w:r>
              <w:rPr>
                <w:b/>
                <w:color w:val="1F4E79"/>
                <w:sz w:val="15"/>
              </w:rPr>
              <w:t>Dettes possibles</w:t>
            </w:r>
          </w:p>
        </w:tc>
      </w:tr>
      <w:tr>
        <w:tc>
          <w:tcPr>
            <w:tcW w:type="dxa" w:w="1469"/>
            <w:vAlign w:val="top"/>
          </w:tcPr>
          <w:p>
            <w:r>
              <w:rPr>
                <w:sz w:val="13"/>
              </w:rPr>
              <w:t>Brique Lego</w:t>
            </w:r>
          </w:p>
        </w:tc>
        <w:tc>
          <w:tcPr>
            <w:tcW w:type="dxa" w:w="2794"/>
            <w:vAlign w:val="top"/>
          </w:tcPr>
          <w:p>
            <w:r>
              <w:rPr>
                <w:sz w:val="13"/>
              </w:rPr>
              <w:t>Fissurée mais encore unique : rigidité et liaison dégradées.</w:t>
            </w:r>
          </w:p>
        </w:tc>
        <w:tc>
          <w:tcPr>
            <w:tcW w:type="dxa" w:w="2693"/>
            <w:vAlign w:val="top"/>
          </w:tcPr>
          <w:p>
            <w:r>
              <w:rPr>
                <w:sz w:val="13"/>
              </w:rPr>
              <w:t>Deux fragments deviennent deux objets.</w:t>
            </w:r>
          </w:p>
        </w:tc>
        <w:tc>
          <w:tcPr>
            <w:tcW w:type="dxa" w:w="3082"/>
            <w:vAlign w:val="top"/>
          </w:tcPr>
          <w:p>
            <w:r>
              <w:rPr>
                <w:sz w:val="13"/>
              </w:rPr>
              <w:t>Dette interne avant ; après : fragments, interfaces et château selon les effets.</w:t>
            </w:r>
          </w:p>
        </w:tc>
      </w:tr>
      <w:tr>
        <w:tc>
          <w:tcPr>
            <w:tcW w:type="dxa" w:w="1469"/>
            <w:vAlign w:val="top"/>
          </w:tcPr>
          <w:p>
            <w:r>
              <w:rPr>
                <w:sz w:val="13"/>
              </w:rPr>
              <w:t>Feuille</w:t>
            </w:r>
          </w:p>
        </w:tc>
        <w:tc>
          <w:tcPr>
            <w:tcW w:type="dxa" w:w="2794"/>
            <w:vAlign w:val="top"/>
          </w:tcPr>
          <w:p>
            <w:r>
              <w:rPr>
                <w:sz w:val="13"/>
              </w:rPr>
              <w:t>Déchirure partielle : continuité et résistance réduites.</w:t>
            </w:r>
          </w:p>
        </w:tc>
        <w:tc>
          <w:tcPr>
            <w:tcW w:type="dxa" w:w="2693"/>
            <w:vAlign w:val="top"/>
          </w:tcPr>
          <w:p>
            <w:r>
              <w:rPr>
                <w:sz w:val="13"/>
              </w:rPr>
              <w:t>Deux morceaux séparés.</w:t>
            </w:r>
          </w:p>
        </w:tc>
        <w:tc>
          <w:tcPr>
            <w:tcW w:type="dxa" w:w="3082"/>
            <w:vAlign w:val="top"/>
          </w:tcPr>
          <w:p>
            <w:r>
              <w:rPr>
                <w:sz w:val="13"/>
              </w:rPr>
              <w:t>Dette de la feuille avant ; après : morceaux et support qui les reçoit.</w:t>
            </w:r>
          </w:p>
        </w:tc>
      </w:tr>
      <w:tr>
        <w:tc>
          <w:tcPr>
            <w:tcW w:type="dxa" w:w="1469"/>
            <w:vAlign w:val="top"/>
          </w:tcPr>
          <w:p>
            <w:r>
              <w:rPr>
                <w:sz w:val="13"/>
              </w:rPr>
              <w:t>Élastique</w:t>
            </w:r>
          </w:p>
        </w:tc>
        <w:tc>
          <w:tcPr>
            <w:tcW w:type="dxa" w:w="2794"/>
            <w:vAlign w:val="top"/>
          </w:tcPr>
          <w:p>
            <w:r>
              <w:rPr>
                <w:sz w:val="13"/>
              </w:rPr>
              <w:t>Entaille : section résistante et tension altérées.</w:t>
            </w:r>
          </w:p>
        </w:tc>
        <w:tc>
          <w:tcPr>
            <w:tcW w:type="dxa" w:w="2693"/>
            <w:vAlign w:val="top"/>
          </w:tcPr>
          <w:p>
            <w:r>
              <w:rPr>
                <w:sz w:val="13"/>
              </w:rPr>
              <w:t>Rupture en deux segments.</w:t>
            </w:r>
          </w:p>
        </w:tc>
        <w:tc>
          <w:tcPr>
            <w:tcW w:type="dxa" w:w="3082"/>
            <w:vAlign w:val="top"/>
          </w:tcPr>
          <w:p>
            <w:r>
              <w:rPr>
                <w:sz w:val="13"/>
              </w:rPr>
              <w:t>Dette interne avant ; après : segments et assemblage qui perd la tension.</w:t>
            </w:r>
          </w:p>
        </w:tc>
      </w:tr>
      <w:tr>
        <w:tc>
          <w:tcPr>
            <w:tcW w:type="dxa" w:w="1469"/>
            <w:vAlign w:val="top"/>
          </w:tcPr>
          <w:p>
            <w:r>
              <w:rPr>
                <w:sz w:val="13"/>
              </w:rPr>
              <w:t>Verre</w:t>
            </w:r>
          </w:p>
        </w:tc>
        <w:tc>
          <w:tcPr>
            <w:tcW w:type="dxa" w:w="2794"/>
            <w:vAlign w:val="top"/>
          </w:tcPr>
          <w:p>
            <w:r>
              <w:rPr>
                <w:sz w:val="13"/>
              </w:rPr>
              <w:t>Fissure dans une vitre encore continue.</w:t>
            </w:r>
          </w:p>
        </w:tc>
        <w:tc>
          <w:tcPr>
            <w:tcW w:type="dxa" w:w="2693"/>
            <w:vAlign w:val="top"/>
          </w:tcPr>
          <w:p>
            <w:r>
              <w:rPr>
                <w:sz w:val="13"/>
              </w:rPr>
              <w:t>Fragments ou tessons distincts.</w:t>
            </w:r>
          </w:p>
        </w:tc>
        <w:tc>
          <w:tcPr>
            <w:tcW w:type="dxa" w:w="3082"/>
            <w:vAlign w:val="top"/>
          </w:tcPr>
          <w:p>
            <w:r>
              <w:rPr>
                <w:sz w:val="13"/>
              </w:rPr>
              <w:t>Dette de la vitre avant ; après : fragments et bâtiment ou passage affecté.</w:t>
            </w:r>
          </w:p>
        </w:tc>
      </w:tr>
      <w:tr>
        <w:tc>
          <w:tcPr>
            <w:tcW w:type="dxa" w:w="1469"/>
            <w:vAlign w:val="top"/>
          </w:tcPr>
          <w:p>
            <w:r>
              <w:rPr>
                <w:sz w:val="13"/>
              </w:rPr>
              <w:t>Bille d’acier</w:t>
            </w:r>
          </w:p>
        </w:tc>
        <w:tc>
          <w:tcPr>
            <w:tcW w:type="dxa" w:w="2794"/>
            <w:vAlign w:val="top"/>
          </w:tcPr>
          <w:p>
            <w:r>
              <w:rPr>
                <w:sz w:val="13"/>
              </w:rPr>
              <w:t>Fissure ou déformation sans séparation.</w:t>
            </w:r>
          </w:p>
        </w:tc>
        <w:tc>
          <w:tcPr>
            <w:tcW w:type="dxa" w:w="2693"/>
            <w:vAlign w:val="top"/>
          </w:tcPr>
          <w:p>
            <w:r>
              <w:rPr>
                <w:sz w:val="13"/>
              </w:rPr>
              <w:t>Éclats ou parties séparées.</w:t>
            </w:r>
          </w:p>
        </w:tc>
        <w:tc>
          <w:tcPr>
            <w:tcW w:type="dxa" w:w="3082"/>
            <w:vAlign w:val="top"/>
          </w:tcPr>
          <w:p>
            <w:r>
              <w:rPr>
                <w:sz w:val="13"/>
              </w:rPr>
              <w:t>Dette de la bille avant ; après : fragments, roulement et machine selon les résidus.</w:t>
            </w:r>
          </w:p>
        </w:tc>
      </w:tr>
      <w:tr>
        <w:tc>
          <w:tcPr>
            <w:tcW w:type="dxa" w:w="1469"/>
            <w:vAlign w:val="top"/>
          </w:tcPr>
          <w:p>
            <w:r>
              <w:rPr>
                <w:sz w:val="13"/>
              </w:rPr>
              <w:t>Aimant</w:t>
            </w:r>
          </w:p>
        </w:tc>
        <w:tc>
          <w:tcPr>
            <w:tcW w:type="dxa" w:w="2794"/>
            <w:vAlign w:val="top"/>
          </w:tcPr>
          <w:p>
            <w:r>
              <w:rPr>
                <w:sz w:val="13"/>
              </w:rPr>
              <w:t>Fissuré mais matériellement continu.</w:t>
            </w:r>
          </w:p>
        </w:tc>
        <w:tc>
          <w:tcPr>
            <w:tcW w:type="dxa" w:w="2693"/>
            <w:vAlign w:val="top"/>
          </w:tcPr>
          <w:p>
            <w:r>
              <w:rPr>
                <w:sz w:val="13"/>
              </w:rPr>
              <w:t>Deux aimants ou fragments distincts.</w:t>
            </w:r>
          </w:p>
        </w:tc>
        <w:tc>
          <w:tcPr>
            <w:tcW w:type="dxa" w:w="3082"/>
            <w:vAlign w:val="top"/>
          </w:tcPr>
          <w:p>
            <w:r>
              <w:rPr>
                <w:sz w:val="13"/>
              </w:rPr>
              <w:t>Dette interne avant ; après : fragments et dispositif selon champs et positions.</w:t>
            </w:r>
          </w:p>
        </w:tc>
      </w:tr>
    </w:tbl>
    <w:p>
      <w:pPr>
        <w:spacing w:before="120" w:after="60"/>
      </w:pPr>
      <w:r>
        <w:rPr>
          <w:b/>
          <w:color w:val="2F7DBE"/>
          <w:sz w:val="24"/>
        </w:rPr>
        <w:t>49.2 Cas du château Lego — dettes simultanées</w:t>
      </w:r>
    </w:p>
    <w:p>
      <w:pPr>
        <w:pStyle w:val="ListBullet"/>
        <w:spacing w:after="16"/>
      </w:pPr>
      <w:r>
        <w:rPr>
          <w:sz w:val="17"/>
        </w:rPr>
        <w:t>La brique fissurée peut porter une dette interne même si le château fonctionne encore : elle englobe sa matière, ses liaisons et sa géométrie.</w:t>
      </w:r>
    </w:p>
    <w:p>
      <w:pPr>
        <w:pStyle w:val="ListBullet"/>
        <w:spacing w:after="16"/>
      </w:pPr>
      <w:r>
        <w:rPr>
          <w:sz w:val="17"/>
        </w:rPr>
        <w:t>Le château porte une dette distincte dès que sa stabilité, sa robustesse, sa géométrie, sa fonction ou sa réserve de compensation s’écarte de sa propre référence, même s’il tient encore.</w:t>
      </w:r>
    </w:p>
    <w:p>
      <w:pPr>
        <w:pStyle w:val="ListBullet"/>
        <w:spacing w:after="16"/>
      </w:pPr>
      <w:r>
        <w:rPr>
          <w:sz w:val="17"/>
        </w:rPr>
        <w:t>Les briques voisines peuvent compenser l’écart du château sans résorber la dette interne de la brique fissurée.</w:t>
      </w:r>
    </w:p>
    <w:p>
      <w:pPr>
        <w:pStyle w:val="ListBullet"/>
        <w:spacing w:after="16"/>
      </w:pPr>
      <w:r>
        <w:rPr>
          <w:sz w:val="17"/>
        </w:rPr>
        <w:t>Après scission, l’ancienne brique cesse d’être un objet unique ; ses fragments peuvent être stables ou endettés, et le château peut porter sa dette relationnelle propre s’il est affecté.</w:t>
      </w:r>
    </w:p>
    <w:p>
      <w:pPr>
        <w:spacing w:before="120" w:after="60"/>
      </w:pPr>
      <w:r>
        <w:rPr>
          <w:b/>
          <w:color w:val="2F7DBE"/>
          <w:sz w:val="24"/>
        </w:rPr>
        <w:t>49.3 Borne d’identité</w:t>
      </w:r>
    </w:p>
    <w:p>
      <w:pPr>
        <w:pStyle w:val="ListBullet"/>
        <w:spacing w:after="16"/>
      </w:pPr>
      <w:r>
        <w:rPr>
          <w:sz w:val="17"/>
        </w:rPr>
        <w:t>Avant scission : identité persistante + écart interne persistant = dette résiduelle possible dans l’objet.</w:t>
      </w:r>
    </w:p>
    <w:p>
      <w:pPr>
        <w:pStyle w:val="ListBullet"/>
        <w:spacing w:after="16"/>
      </w:pPr>
      <w:r>
        <w:rPr>
          <w:sz w:val="17"/>
        </w:rPr>
        <w:t>À la scission : fin ou transformation de l’identité de l’objet initial ; ouverture de nouveaux objets et de nouvelles relations.</w:t>
      </w:r>
    </w:p>
    <w:p>
      <w:pPr>
        <w:pStyle w:val="ListBullet"/>
        <w:spacing w:after="16"/>
      </w:pPr>
      <w:r>
        <w:rPr>
          <w:sz w:val="17"/>
        </w:rPr>
        <w:t>Après scission : aucune loi de conservation de la dette n’est présumée. Les dettes sont recalculées dans chaque nouvel objet et chaque englobant affecté.</w:t>
      </w:r>
    </w:p>
    <w:p>
      <w:pPr>
        <w:pStyle w:val="ListBullet"/>
        <w:spacing w:after="16"/>
      </w:pPr>
      <w:r>
        <w:rPr>
          <w:sz w:val="17"/>
        </w:rPr>
        <w:t>Un même événement peut créer plusieurs dettes causales distinctes ; la provenance commune ne permet pas de les additionner sans unités et recouvrements calibrés.</w:t>
      </w:r>
    </w:p>
    <w:p>
      <w:pPr>
        <w:spacing w:before="120" w:after="60"/>
      </w:pPr>
      <w:r>
        <w:rPr>
          <w:b/>
          <w:color w:val="2F7DBE"/>
          <w:sz w:val="24"/>
        </w:rPr>
        <w:t>49.4 Calcul multicadre obligatoire</w:t>
      </w:r>
    </w:p>
    <w:p>
      <w:pPr>
        <w:pStyle w:val="ListBullet"/>
        <w:spacing w:after="16"/>
      </w:pPr>
      <w:r>
        <w:rPr>
          <w:sz w:val="17"/>
        </w:rPr>
        <w:t>Six objets avant/après scission : PASS qualitatif pour la dette interne avant séparation et la ramification après séparation.</w:t>
      </w:r>
    </w:p>
    <w:p>
      <w:pPr>
        <w:pStyle w:val="ListBullet"/>
        <w:spacing w:after="16"/>
      </w:pPr>
      <w:r>
        <w:rPr>
          <w:sz w:val="17"/>
        </w:rPr>
        <w:t>Brique + château : PASS structurel — dettes interne et relationnelle peuvent coexister sans être identiques.</w:t>
      </w:r>
    </w:p>
    <w:p>
      <w:pPr>
        <w:pStyle w:val="ListBullet"/>
        <w:spacing w:after="16"/>
      </w:pPr>
      <w:r>
        <w:rPr>
          <w:sz w:val="17"/>
        </w:rPr>
        <w:t>Seuil exact d’identité et quantités de dette des fragments : NON_MESURÉS sans critères et proxys préfixés.</w:t>
      </w:r>
    </w:p>
    <w:p>
      <w:pPr>
        <w:pStyle w:val="ListBullet"/>
        <w:spacing w:after="16"/>
      </w:pPr>
      <w:r>
        <w:rPr>
          <w:sz w:val="17"/>
        </w:rPr>
        <w:t>Cadres supérieurs jusqu’à la planète : obligatoires ; ramification réelle et compensations terminales = NON_MESURÉES.</w:t>
      </w:r>
    </w:p>
    <w:p>
      <w:pPr>
        <w:pStyle w:val="ListBullet"/>
        <w:spacing w:after="16"/>
      </w:pPr>
      <w:r>
        <w:rPr>
          <w:sz w:val="17"/>
        </w:rPr>
        <w:t>Correspondance exacte de cette formulation avec le corpus canonique : NON_VÉRIFIÉE dans ce passage.</w:t>
      </w:r>
    </w:p>
    <w:p>
      <w:pPr>
        <w:jc w:val="center"/>
      </w:pPr>
      <w:r>
        <w:rPr>
          <w:b/>
          <w:color w:val="1F4E79"/>
          <w:sz w:val="20"/>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8"/>
              </w:rPr>
              <w:t>VERROU — Une dette peut rester dans l’objet tant que son identité persiste. À la scission, elle ne passe pas simplement au cadre supérieur : elle se ramifie entre les nouvelles entités, leurs relations et chaque objet englobant réellement affecté.</w:t>
            </w:r>
          </w:p>
        </w:tc>
      </w:tr>
    </w:tbl>
    <w:p>
      <w:pPr>
        <w:pageBreakBefore/>
        <w:spacing w:before="120" w:after="60"/>
      </w:pPr>
      <w:r>
        <w:rPr>
          <w:b/>
          <w:color w:val="2F7DBE"/>
          <w:sz w:val="30"/>
        </w:rPr>
        <w:t>SECTION 50 — Potentialisation — dette de robustesse avant la casse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RÉSULTAT — Un objet englobant peut accumuler une dette réelle alors que sa fonction visible reste intacte. La dette apparaît dès que les altérations locales réduisent sa marge de robustesse, sa redondance ou l’ensemble de ses futurs admissibles. La scission et la casse viennent plus tard.</w:t>
            </w:r>
          </w:p>
        </w:tc>
      </w:tr>
    </w:tbl>
    <w:p>
      <w:pPr>
        <w:spacing w:before="120" w:after="60"/>
      </w:pPr>
      <w:r>
        <w:rPr>
          <w:b/>
          <w:color w:val="2F7DBE"/>
          <w:sz w:val="24"/>
        </w:rPr>
        <w:t>50.1 Passage sur six structures simples</w:t>
      </w:r>
    </w:p>
    <w:tbl>
      <w:tblPr>
        <w:tblStyle w:val="TableGrid"/>
        <w:tblW w:type="auto" w:w="0"/>
        <w:tblLook w:firstColumn="1" w:firstRow="1" w:lastColumn="0" w:lastRow="0" w:noHBand="0" w:noVBand="1" w:val="04A0"/>
      </w:tblPr>
      <w:tblGrid>
        <w:gridCol w:w="2592"/>
        <w:gridCol w:w="2592"/>
        <w:gridCol w:w="2592"/>
        <w:gridCol w:w="2592"/>
      </w:tblGrid>
      <w:tr>
        <w:tc>
          <w:tcPr>
            <w:tcW w:type="dxa" w:w="1699"/>
            <w:shd w:fill="D9EAF7"/>
          </w:tcPr>
          <w:p>
            <w:r>
              <w:rPr>
                <w:b/>
                <w:color w:val="1F4E79"/>
                <w:sz w:val="15"/>
              </w:rPr>
              <w:t>Système</w:t>
            </w:r>
          </w:p>
        </w:tc>
        <w:tc>
          <w:tcPr>
            <w:tcW w:type="dxa" w:w="2347"/>
            <w:shd w:fill="D9EAF7"/>
          </w:tcPr>
          <w:p>
            <w:r>
              <w:rPr>
                <w:b/>
                <w:color w:val="1F4E79"/>
                <w:sz w:val="15"/>
              </w:rPr>
              <w:t>Fonction présente</w:t>
            </w:r>
          </w:p>
        </w:tc>
        <w:tc>
          <w:tcPr>
            <w:tcW w:type="dxa" w:w="3240"/>
            <w:shd w:fill="D9EAF7"/>
          </w:tcPr>
          <w:p>
            <w:r>
              <w:rPr>
                <w:b/>
                <w:color w:val="1F4E79"/>
                <w:sz w:val="15"/>
              </w:rPr>
              <w:t>Réserve dégradée</w:t>
            </w:r>
          </w:p>
        </w:tc>
        <w:tc>
          <w:tcPr>
            <w:tcW w:type="dxa" w:w="2750"/>
            <w:shd w:fill="D9EAF7"/>
          </w:tcPr>
          <w:p>
            <w:r>
              <w:rPr>
                <w:b/>
                <w:color w:val="1F4E79"/>
                <w:sz w:val="15"/>
              </w:rPr>
              <w:t>Dette supérieure</w:t>
            </w:r>
          </w:p>
        </w:tc>
      </w:tr>
      <w:tr>
        <w:tc>
          <w:tcPr>
            <w:tcW w:type="dxa" w:w="1699"/>
            <w:vAlign w:val="top"/>
          </w:tcPr>
          <w:p>
            <w:r>
              <w:rPr>
                <w:sz w:val="13"/>
              </w:rPr>
              <w:t>Château Lego</w:t>
            </w:r>
          </w:p>
        </w:tc>
        <w:tc>
          <w:tcPr>
            <w:tcW w:type="dxa" w:w="2347"/>
            <w:vAlign w:val="top"/>
          </w:tcPr>
          <w:p>
            <w:r>
              <w:rPr>
                <w:sz w:val="13"/>
              </w:rPr>
              <w:t>Il tient encore.</w:t>
            </w:r>
          </w:p>
        </w:tc>
        <w:tc>
          <w:tcPr>
            <w:tcW w:type="dxa" w:w="3240"/>
            <w:vAlign w:val="top"/>
          </w:tcPr>
          <w:p>
            <w:r>
              <w:rPr>
                <w:sz w:val="13"/>
              </w:rPr>
              <w:t>99 briques fissurées réduisent fortement stabilité et redondance.</w:t>
            </w:r>
          </w:p>
        </w:tc>
        <w:tc>
          <w:tcPr>
            <w:tcW w:type="dxa" w:w="2750"/>
            <w:vAlign w:val="top"/>
          </w:tcPr>
          <w:p>
            <w:r>
              <w:rPr>
                <w:sz w:val="13"/>
              </w:rPr>
              <w:t>Oui : réserve structurelle inférieure à la référence.</w:t>
            </w:r>
          </w:p>
        </w:tc>
      </w:tr>
      <w:tr>
        <w:tc>
          <w:tcPr>
            <w:tcW w:type="dxa" w:w="1699"/>
            <w:vAlign w:val="top"/>
          </w:tcPr>
          <w:p>
            <w:r>
              <w:rPr>
                <w:sz w:val="13"/>
              </w:rPr>
              <w:t>Corde</w:t>
            </w:r>
          </w:p>
        </w:tc>
        <w:tc>
          <w:tcPr>
            <w:tcW w:type="dxa" w:w="2347"/>
            <w:vAlign w:val="top"/>
          </w:tcPr>
          <w:p>
            <w:r>
              <w:rPr>
                <w:sz w:val="13"/>
              </w:rPr>
              <w:t>Elle porte encore.</w:t>
            </w:r>
          </w:p>
        </w:tc>
        <w:tc>
          <w:tcPr>
            <w:tcW w:type="dxa" w:w="3240"/>
            <w:vAlign w:val="top"/>
          </w:tcPr>
          <w:p>
            <w:r>
              <w:rPr>
                <w:sz w:val="13"/>
              </w:rPr>
              <w:t>Des fibres coupées réduisent la charge supportable et la tolérance aux chocs.</w:t>
            </w:r>
          </w:p>
        </w:tc>
        <w:tc>
          <w:tcPr>
            <w:tcW w:type="dxa" w:w="2750"/>
            <w:vAlign w:val="top"/>
          </w:tcPr>
          <w:p>
            <w:r>
              <w:rPr>
                <w:sz w:val="13"/>
              </w:rPr>
              <w:t>Oui : marge à la rupture diminuée.</w:t>
            </w:r>
          </w:p>
        </w:tc>
      </w:tr>
      <w:tr>
        <w:tc>
          <w:tcPr>
            <w:tcW w:type="dxa" w:w="1699"/>
            <w:vAlign w:val="top"/>
          </w:tcPr>
          <w:p>
            <w:r>
              <w:rPr>
                <w:sz w:val="13"/>
              </w:rPr>
              <w:t>Vitre</w:t>
            </w:r>
          </w:p>
        </w:tc>
        <w:tc>
          <w:tcPr>
            <w:tcW w:type="dxa" w:w="2347"/>
            <w:vAlign w:val="top"/>
          </w:tcPr>
          <w:p>
            <w:r>
              <w:rPr>
                <w:sz w:val="13"/>
              </w:rPr>
              <w:t>Elle reste entière.</w:t>
            </w:r>
          </w:p>
        </w:tc>
        <w:tc>
          <w:tcPr>
            <w:tcW w:type="dxa" w:w="3240"/>
            <w:vAlign w:val="top"/>
          </w:tcPr>
          <w:p>
            <w:r>
              <w:rPr>
                <w:sz w:val="13"/>
              </w:rPr>
              <w:t>Des microfissures facilitent la propagation sous choc ou température.</w:t>
            </w:r>
          </w:p>
        </w:tc>
        <w:tc>
          <w:tcPr>
            <w:tcW w:type="dxa" w:w="2750"/>
            <w:vAlign w:val="top"/>
          </w:tcPr>
          <w:p>
            <w:r>
              <w:rPr>
                <w:sz w:val="13"/>
              </w:rPr>
              <w:t>Oui : robustesse inférieure.</w:t>
            </w:r>
          </w:p>
        </w:tc>
      </w:tr>
      <w:tr>
        <w:tc>
          <w:tcPr>
            <w:tcW w:type="dxa" w:w="1699"/>
            <w:vAlign w:val="top"/>
          </w:tcPr>
          <w:p>
            <w:r>
              <w:rPr>
                <w:sz w:val="13"/>
              </w:rPr>
              <w:t>Roulement</w:t>
            </w:r>
          </w:p>
        </w:tc>
        <w:tc>
          <w:tcPr>
            <w:tcW w:type="dxa" w:w="2347"/>
            <w:vAlign w:val="top"/>
          </w:tcPr>
          <w:p>
            <w:r>
              <w:rPr>
                <w:sz w:val="13"/>
              </w:rPr>
              <w:t>Il tourne encore.</w:t>
            </w:r>
          </w:p>
        </w:tc>
        <w:tc>
          <w:tcPr>
            <w:tcW w:type="dxa" w:w="3240"/>
            <w:vAlign w:val="top"/>
          </w:tcPr>
          <w:p>
            <w:r>
              <w:rPr>
                <w:sz w:val="13"/>
              </w:rPr>
              <w:t>Plusieurs billes usées réduisent réserve de charge et tolérance thermique.</w:t>
            </w:r>
          </w:p>
        </w:tc>
        <w:tc>
          <w:tcPr>
            <w:tcW w:type="dxa" w:w="2750"/>
            <w:vAlign w:val="top"/>
          </w:tcPr>
          <w:p>
            <w:r>
              <w:rPr>
                <w:sz w:val="13"/>
              </w:rPr>
              <w:t>Oui : dette du roulement avant panne.</w:t>
            </w:r>
          </w:p>
        </w:tc>
      </w:tr>
      <w:tr>
        <w:tc>
          <w:tcPr>
            <w:tcW w:type="dxa" w:w="1699"/>
            <w:vAlign w:val="top"/>
          </w:tcPr>
          <w:p>
            <w:r>
              <w:rPr>
                <w:sz w:val="13"/>
              </w:rPr>
              <w:t>Chaise</w:t>
            </w:r>
          </w:p>
        </w:tc>
        <w:tc>
          <w:tcPr>
            <w:tcW w:type="dxa" w:w="2347"/>
            <w:vAlign w:val="top"/>
          </w:tcPr>
          <w:p>
            <w:r>
              <w:rPr>
                <w:sz w:val="13"/>
              </w:rPr>
              <w:t>Elle supporte encore.</w:t>
            </w:r>
          </w:p>
        </w:tc>
        <w:tc>
          <w:tcPr>
            <w:tcW w:type="dxa" w:w="3240"/>
            <w:vAlign w:val="top"/>
          </w:tcPr>
          <w:p>
            <w:r>
              <w:rPr>
                <w:sz w:val="13"/>
              </w:rPr>
              <w:t>Pieds ou assemblages fissurés réduisent stabilité et charge admissible.</w:t>
            </w:r>
          </w:p>
        </w:tc>
        <w:tc>
          <w:tcPr>
            <w:tcW w:type="dxa" w:w="2750"/>
            <w:vAlign w:val="top"/>
          </w:tcPr>
          <w:p>
            <w:r>
              <w:rPr>
                <w:sz w:val="13"/>
              </w:rPr>
              <w:t>Oui : fonction présente, marge réduite.</w:t>
            </w:r>
          </w:p>
        </w:tc>
      </w:tr>
      <w:tr>
        <w:tc>
          <w:tcPr>
            <w:tcW w:type="dxa" w:w="1699"/>
            <w:vAlign w:val="top"/>
          </w:tcPr>
          <w:p>
            <w:r>
              <w:rPr>
                <w:sz w:val="13"/>
              </w:rPr>
              <w:t>Filet</w:t>
            </w:r>
          </w:p>
        </w:tc>
        <w:tc>
          <w:tcPr>
            <w:tcW w:type="dxa" w:w="2347"/>
            <w:vAlign w:val="top"/>
          </w:tcPr>
          <w:p>
            <w:r>
              <w:rPr>
                <w:sz w:val="13"/>
              </w:rPr>
              <w:t>Il retient encore.</w:t>
            </w:r>
          </w:p>
        </w:tc>
        <w:tc>
          <w:tcPr>
            <w:tcW w:type="dxa" w:w="3240"/>
            <w:vAlign w:val="top"/>
          </w:tcPr>
          <w:p>
            <w:r>
              <w:rPr>
                <w:sz w:val="13"/>
              </w:rPr>
              <w:t>Mailles fragilisées réduisent résistance et capacité à contenir une perturbation.</w:t>
            </w:r>
          </w:p>
        </w:tc>
        <w:tc>
          <w:tcPr>
            <w:tcW w:type="dxa" w:w="2750"/>
            <w:vAlign w:val="top"/>
          </w:tcPr>
          <w:p>
            <w:r>
              <w:rPr>
                <w:sz w:val="13"/>
              </w:rPr>
              <w:t>Oui : dette de robustesse actuelle.</w:t>
            </w:r>
          </w:p>
        </w:tc>
      </w:tr>
    </w:tbl>
    <w:p>
      <w:pPr>
        <w:spacing w:before="120" w:after="60"/>
      </w:pPr>
      <w:r>
        <w:rPr>
          <w:b/>
          <w:color w:val="2F7DBE"/>
          <w:sz w:val="24"/>
        </w:rPr>
        <w:t>50.2 Effet de potentialisation</w:t>
      </w:r>
    </w:p>
    <w:p>
      <w:pPr>
        <w:pStyle w:val="ListBullet"/>
        <w:spacing w:after="16"/>
      </w:pPr>
      <w:r>
        <w:rPr>
          <w:sz w:val="17"/>
        </w:rPr>
        <w:t>Chaque composant endommagé peut encore fonctionner, mais il consomme une partie de la redondance qui protégeait l’objet englobant.</w:t>
      </w:r>
    </w:p>
    <w:p>
      <w:pPr>
        <w:pStyle w:val="ListBullet"/>
        <w:spacing w:after="16"/>
      </w:pPr>
      <w:r>
        <w:rPr>
          <w:sz w:val="17"/>
        </w:rPr>
        <w:t>Les 99 briques fissurées ne produisent pas nécessairement 99 fois la dette d’une brique : leurs positions, liaisons et interactions peuvent amplifier ou réduire l’effet global.</w:t>
      </w:r>
    </w:p>
    <w:p>
      <w:pPr>
        <w:pStyle w:val="ListBullet"/>
        <w:spacing w:after="16"/>
      </w:pPr>
      <w:r>
        <w:rPr>
          <w:sz w:val="17"/>
        </w:rPr>
        <w:t>Le château n’est pas endetté parce qu’il est abstraitement capable de casser ; tout objet l’est. Il est endetté parce que sa distance mesurée à la rupture est inférieure à sa référence.</w:t>
      </w:r>
    </w:p>
    <w:p>
      <w:pPr>
        <w:pStyle w:val="ListBullet"/>
        <w:spacing w:after="16"/>
      </w:pPr>
      <w:r>
        <w:rPr>
          <w:sz w:val="17"/>
        </w:rPr>
        <w:t>La dette supérieure commence donc avant la séparation, dès que l’ensemble des futurs admissibles ou la marge de stabilité de l’englobant se contracte.</w:t>
      </w:r>
    </w:p>
    <w:p>
      <w:pPr>
        <w:spacing w:before="120" w:after="60"/>
      </w:pPr>
      <w:r>
        <w:rPr>
          <w:b/>
          <w:color w:val="2F7DBE"/>
          <w:sz w:val="24"/>
        </w:rPr>
        <w:t>50.3 Projection scalaire conditionnelle après les six tests</w:t>
      </w:r>
    </w:p>
    <w:p>
      <w:pPr>
        <w:jc w:val="center"/>
      </w:pPr>
      <w:r>
        <w:rPr>
          <w:b/>
          <w:color w:val="1F4E79"/>
          <w:sz w:val="22"/>
        </w:rPr>
        <w:t>Dᵣ(C) = max[0, Rᵣᵉᶠ(C) − R(C)]</w:t>
      </w:r>
    </w:p>
    <w:p>
      <w:pPr>
        <w:pStyle w:val="ListBullet"/>
        <w:spacing w:after="16"/>
      </w:pPr>
      <w:r>
        <w:rPr>
          <w:sz w:val="17"/>
        </w:rPr>
        <w:t>R(C) : projection scalaire de robustesse pour une famille de perturbations et un horizon fixés avant l’essai ; Rᵣᵉᶠ(C) : projection de référence comparable.</w:t>
      </w:r>
    </w:p>
    <w:p>
      <w:pPr>
        <w:pStyle w:val="ListBullet"/>
        <w:spacing w:after="16"/>
      </w:pPr>
      <w:r>
        <w:rPr>
          <w:sz w:val="17"/>
        </w:rPr>
        <w:t>La sortie instantanée peut rester nominale alors que Dᵣ(C) &gt; 0. La dette est alors latente dans la fonction, mais actuelle dans l’état de robustesse.</w:t>
      </w:r>
    </w:p>
    <w:p>
      <w:pPr>
        <w:pStyle w:val="ListBullet"/>
        <w:spacing w:after="16"/>
      </w:pPr>
      <w:r>
        <w:rPr>
          <w:sz w:val="17"/>
        </w:rPr>
        <w:t>Cette projection n’est pas la dette globale : sans perturbation, direction et horizon préfixés, la robustesse reste multidimensionnelle. Elle ne suppose ni additivité ni probabilité de casse.</w:t>
      </w:r>
    </w:p>
    <w:p>
      <w:pPr>
        <w:spacing w:before="120" w:after="60"/>
      </w:pPr>
      <w:r>
        <w:rPr>
          <w:b/>
          <w:color w:val="2F7DBE"/>
          <w:sz w:val="24"/>
        </w:rPr>
        <w:t>50.4 Calcul multicadre obligatoire</w:t>
      </w:r>
    </w:p>
    <w:p>
      <w:pPr>
        <w:pStyle w:val="ListBullet"/>
        <w:spacing w:after="16"/>
      </w:pPr>
      <w:r>
        <w:rPr>
          <w:sz w:val="17"/>
        </w:rPr>
        <w:t>Six structures : PASS qualitatif — fonction conservée et marge réduite sont simultanément possibles.</w:t>
      </w:r>
    </w:p>
    <w:p>
      <w:pPr>
        <w:pStyle w:val="ListBullet"/>
        <w:spacing w:after="16"/>
      </w:pPr>
      <w:r>
        <w:rPr>
          <w:sz w:val="17"/>
        </w:rPr>
        <w:t>Composants → objet englobant : PASS structurel — la dette supérieure peut précéder scission, compensation visible et panne.</w:t>
      </w:r>
    </w:p>
    <w:p>
      <w:pPr>
        <w:pStyle w:val="ListBullet"/>
        <w:spacing w:after="16"/>
      </w:pPr>
      <w:r>
        <w:rPr>
          <w:sz w:val="17"/>
        </w:rPr>
        <w:t>Potentialisation non linéaire : structurellement admissible ; amplitude, signe et seuil = NON_MESURÉS sans topologie et proxys.</w:t>
      </w:r>
    </w:p>
    <w:p>
      <w:pPr>
        <w:pStyle w:val="ListBullet"/>
        <w:spacing w:after="16"/>
      </w:pPr>
      <w:r>
        <w:rPr>
          <w:sz w:val="17"/>
        </w:rPr>
        <w:t>Chaîne jusqu’à la planète : obligatoire ; effets réels de robustesse et compensations terminales = NON_MESURÉS.</w:t>
      </w:r>
    </w:p>
    <w:p>
      <w:pPr>
        <w:pStyle w:val="ListBullet"/>
        <w:spacing w:after="16"/>
      </w:pPr>
      <w:r>
        <w:rPr>
          <w:sz w:val="17"/>
        </w:rPr>
        <w:t>Correspondance exacte de cette formulation avec le corpus canonique : NON_VÉRIFIÉE dans ce passage.</w:t>
      </w:r>
    </w:p>
    <w:p>
      <w:pPr>
        <w:jc w:val="center"/>
      </w:pPr>
      <w:r>
        <w:rPr>
          <w:b/>
          <w:color w:val="1F4E79"/>
          <w:sz w:val="20"/>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8"/>
              </w:rPr>
              <w:t>VERROU — Fonction présente ≠ dette nulle. Toute réduction démontrée de la marge de robustesse ou des futurs admissibles constitue déjà une dette de l’objet englobant, avant scission et avant casse. La dette globale dépend des relations ; elle n’est pas la somme automatique des dettes locales.</w:t>
            </w:r>
          </w:p>
        </w:tc>
      </w:tr>
    </w:tbl>
    <w:p>
      <w:pPr>
        <w:pageBreakBefore/>
        <w:spacing w:before="80" w:after="7"/>
      </w:pPr>
      <w:r>
        <w:rPr>
          <w:b/>
          <w:color w:val="2F7DBE"/>
          <w:sz w:val="29"/>
        </w:rPr>
        <w:t>SECTION 51 — Dette comme contraction des futurs admissibles</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8"/>
              </w:rPr>
              <w:t>RÉSULTAT — La dette de robustesse se voit comme une contraction des futurs encore admissibles pour l’objet englobant, par rapport à sa référence. La fonction présente peut rester identique alors que certaines charges, directions, perturbations ou durées ne sont déjà plus soutenables.</w:t>
            </w:r>
          </w:p>
        </w:tc>
      </w:tr>
    </w:tbl>
    <w:p>
      <w:pPr>
        <w:spacing w:before="80" w:after="7"/>
      </w:pPr>
      <w:r>
        <w:rPr>
          <w:b/>
          <w:color w:val="2F7DBE"/>
          <w:sz w:val="23"/>
        </w:rPr>
        <w:t>51.1 Passage sur six structures</w:t>
      </w:r>
    </w:p>
    <w:tbl>
      <w:tblPr>
        <w:tblStyle w:val="TableGrid"/>
        <w:tblW w:type="auto" w:w="0"/>
        <w:tblLook w:firstColumn="1" w:firstRow="1" w:lastColumn="0" w:lastRow="0" w:noHBand="0" w:noVBand="1" w:val="04A0"/>
      </w:tblPr>
      <w:tblGrid>
        <w:gridCol w:w="2592"/>
        <w:gridCol w:w="2592"/>
        <w:gridCol w:w="2592"/>
        <w:gridCol w:w="2592"/>
      </w:tblGrid>
      <w:tr>
        <w:tc>
          <w:tcPr>
            <w:tcW w:type="dxa" w:w="1670"/>
            <w:shd w:fill="D9EAF7"/>
          </w:tcPr>
          <w:p>
            <w:r>
              <w:rPr>
                <w:b/>
                <w:color w:val="1F4E79"/>
                <w:sz w:val="15"/>
              </w:rPr>
              <w:t>Système</w:t>
            </w:r>
          </w:p>
        </w:tc>
        <w:tc>
          <w:tcPr>
            <w:tcW w:type="dxa" w:w="2434"/>
            <w:shd w:fill="D9EAF7"/>
          </w:tcPr>
          <w:p>
            <w:r>
              <w:rPr>
                <w:b/>
                <w:color w:val="1F4E79"/>
                <w:sz w:val="15"/>
              </w:rPr>
              <w:t>Sortie conservée</w:t>
            </w:r>
          </w:p>
        </w:tc>
        <w:tc>
          <w:tcPr>
            <w:tcW w:type="dxa" w:w="3139"/>
            <w:shd w:fill="D9EAF7"/>
          </w:tcPr>
          <w:p>
            <w:r>
              <w:rPr>
                <w:b/>
                <w:color w:val="1F4E79"/>
                <w:sz w:val="15"/>
              </w:rPr>
              <w:t>Futurs perdus</w:t>
            </w:r>
          </w:p>
        </w:tc>
        <w:tc>
          <w:tcPr>
            <w:tcW w:type="dxa" w:w="2794"/>
            <w:shd w:fill="D9EAF7"/>
          </w:tcPr>
          <w:p>
            <w:r>
              <w:rPr>
                <w:b/>
                <w:color w:val="1F4E79"/>
                <w:sz w:val="15"/>
              </w:rPr>
              <w:t>Pourquoi un scalaire échoue</w:t>
            </w:r>
          </w:p>
        </w:tc>
      </w:tr>
      <w:tr>
        <w:tc>
          <w:tcPr>
            <w:tcW w:type="dxa" w:w="1670"/>
            <w:vAlign w:val="top"/>
          </w:tcPr>
          <w:p>
            <w:r>
              <w:rPr>
                <w:sz w:val="13"/>
              </w:rPr>
              <w:t>Château Lego</w:t>
            </w:r>
          </w:p>
        </w:tc>
        <w:tc>
          <w:tcPr>
            <w:tcW w:type="dxa" w:w="2434"/>
            <w:vAlign w:val="top"/>
          </w:tcPr>
          <w:p>
            <w:r>
              <w:rPr>
                <w:sz w:val="13"/>
              </w:rPr>
              <w:t>Il tient au repos.</w:t>
            </w:r>
          </w:p>
        </w:tc>
        <w:tc>
          <w:tcPr>
            <w:tcW w:type="dxa" w:w="3139"/>
            <w:vAlign w:val="top"/>
          </w:tcPr>
          <w:p>
            <w:r>
              <w:rPr>
                <w:sz w:val="13"/>
              </w:rPr>
              <w:t>Chocs latéraux ou charges auparavant admissibles ne le sont plus.</w:t>
            </w:r>
          </w:p>
        </w:tc>
        <w:tc>
          <w:tcPr>
            <w:tcW w:type="dxa" w:w="2794"/>
            <w:vAlign w:val="top"/>
          </w:tcPr>
          <w:p>
            <w:r>
              <w:rPr>
                <w:sz w:val="13"/>
              </w:rPr>
              <w:t>Robustesse verticale et latérale peuvent diverger.</w:t>
            </w:r>
          </w:p>
        </w:tc>
      </w:tr>
      <w:tr>
        <w:tc>
          <w:tcPr>
            <w:tcW w:type="dxa" w:w="1670"/>
            <w:vAlign w:val="top"/>
          </w:tcPr>
          <w:p>
            <w:r>
              <w:rPr>
                <w:sz w:val="13"/>
              </w:rPr>
              <w:t>Corde</w:t>
            </w:r>
          </w:p>
        </w:tc>
        <w:tc>
          <w:tcPr>
            <w:tcW w:type="dxa" w:w="2434"/>
            <w:vAlign w:val="top"/>
          </w:tcPr>
          <w:p>
            <w:r>
              <w:rPr>
                <w:sz w:val="13"/>
              </w:rPr>
              <w:t>Elle porte une masse fixe.</w:t>
            </w:r>
          </w:p>
        </w:tc>
        <w:tc>
          <w:tcPr>
            <w:tcW w:type="dxa" w:w="3139"/>
            <w:vAlign w:val="top"/>
          </w:tcPr>
          <w:p>
            <w:r>
              <w:rPr>
                <w:sz w:val="13"/>
              </w:rPr>
              <w:t>Choc, traction dynamique ou durée supplémentaire deviennent inadmissibles.</w:t>
            </w:r>
          </w:p>
        </w:tc>
        <w:tc>
          <w:tcPr>
            <w:tcW w:type="dxa" w:w="2794"/>
            <w:vAlign w:val="top"/>
          </w:tcPr>
          <w:p>
            <w:r>
              <w:rPr>
                <w:sz w:val="13"/>
              </w:rPr>
              <w:t>Charge statique et choc ne sont pas équivalents.</w:t>
            </w:r>
          </w:p>
        </w:tc>
      </w:tr>
      <w:tr>
        <w:tc>
          <w:tcPr>
            <w:tcW w:type="dxa" w:w="1670"/>
            <w:vAlign w:val="top"/>
          </w:tcPr>
          <w:p>
            <w:r>
              <w:rPr>
                <w:sz w:val="13"/>
              </w:rPr>
              <w:t>Vitre</w:t>
            </w:r>
          </w:p>
        </w:tc>
        <w:tc>
          <w:tcPr>
            <w:tcW w:type="dxa" w:w="2434"/>
            <w:vAlign w:val="top"/>
          </w:tcPr>
          <w:p>
            <w:r>
              <w:rPr>
                <w:sz w:val="13"/>
              </w:rPr>
              <w:t>Elle ferme encore l’ouverture.</w:t>
            </w:r>
          </w:p>
        </w:tc>
        <w:tc>
          <w:tcPr>
            <w:tcW w:type="dxa" w:w="3139"/>
            <w:vAlign w:val="top"/>
          </w:tcPr>
          <w:p>
            <w:r>
              <w:rPr>
                <w:sz w:val="13"/>
              </w:rPr>
              <w:t>Écart thermique ou impact toléré auparavant peut provoquer la rupture.</w:t>
            </w:r>
          </w:p>
        </w:tc>
        <w:tc>
          <w:tcPr>
            <w:tcW w:type="dxa" w:w="2794"/>
            <w:vAlign w:val="top"/>
          </w:tcPr>
          <w:p>
            <w:r>
              <w:rPr>
                <w:sz w:val="13"/>
              </w:rPr>
              <w:t>Thermique et mécanique suivent des axes différents.</w:t>
            </w:r>
          </w:p>
        </w:tc>
      </w:tr>
      <w:tr>
        <w:tc>
          <w:tcPr>
            <w:tcW w:type="dxa" w:w="1670"/>
            <w:vAlign w:val="top"/>
          </w:tcPr>
          <w:p>
            <w:r>
              <w:rPr>
                <w:sz w:val="13"/>
              </w:rPr>
              <w:t>Roulement</w:t>
            </w:r>
          </w:p>
        </w:tc>
        <w:tc>
          <w:tcPr>
            <w:tcW w:type="dxa" w:w="2434"/>
            <w:vAlign w:val="top"/>
          </w:tcPr>
          <w:p>
            <w:r>
              <w:rPr>
                <w:sz w:val="13"/>
              </w:rPr>
              <w:t>Il tourne à faible charge.</w:t>
            </w:r>
          </w:p>
        </w:tc>
        <w:tc>
          <w:tcPr>
            <w:tcW w:type="dxa" w:w="3139"/>
            <w:vAlign w:val="top"/>
          </w:tcPr>
          <w:p>
            <w:r>
              <w:rPr>
                <w:sz w:val="13"/>
              </w:rPr>
              <w:t>Charge radiale, axiale, vitesse ou durée admissibles se contractent.</w:t>
            </w:r>
          </w:p>
        </w:tc>
        <w:tc>
          <w:tcPr>
            <w:tcW w:type="dxa" w:w="2794"/>
            <w:vAlign w:val="top"/>
          </w:tcPr>
          <w:p>
            <w:r>
              <w:rPr>
                <w:sz w:val="13"/>
              </w:rPr>
              <w:t>Plusieurs régimes incompatibles avec un score unique.</w:t>
            </w:r>
          </w:p>
        </w:tc>
      </w:tr>
      <w:tr>
        <w:tc>
          <w:tcPr>
            <w:tcW w:type="dxa" w:w="1670"/>
            <w:vAlign w:val="top"/>
          </w:tcPr>
          <w:p>
            <w:r>
              <w:rPr>
                <w:sz w:val="13"/>
              </w:rPr>
              <w:t>Chaise</w:t>
            </w:r>
          </w:p>
        </w:tc>
        <w:tc>
          <w:tcPr>
            <w:tcW w:type="dxa" w:w="2434"/>
            <w:vAlign w:val="top"/>
          </w:tcPr>
          <w:p>
            <w:r>
              <w:rPr>
                <w:sz w:val="13"/>
              </w:rPr>
              <w:t>Elle tient sous charge centrée.</w:t>
            </w:r>
          </w:p>
        </w:tc>
        <w:tc>
          <w:tcPr>
            <w:tcW w:type="dxa" w:w="3139"/>
            <w:vAlign w:val="top"/>
          </w:tcPr>
          <w:p>
            <w:r>
              <w:rPr>
                <w:sz w:val="13"/>
              </w:rPr>
              <w:t>Charge excentrée, mouvement ou utilisateur plus lourd deviennent critiques.</w:t>
            </w:r>
          </w:p>
        </w:tc>
        <w:tc>
          <w:tcPr>
            <w:tcW w:type="dxa" w:w="2794"/>
            <w:vAlign w:val="top"/>
          </w:tcPr>
          <w:p>
            <w:r>
              <w:rPr>
                <w:sz w:val="13"/>
              </w:rPr>
              <w:t>La direction et la répartition comptent.</w:t>
            </w:r>
          </w:p>
        </w:tc>
      </w:tr>
      <w:tr>
        <w:tc>
          <w:tcPr>
            <w:tcW w:type="dxa" w:w="1670"/>
            <w:vAlign w:val="top"/>
          </w:tcPr>
          <w:p>
            <w:r>
              <w:rPr>
                <w:sz w:val="13"/>
              </w:rPr>
              <w:t>Filet</w:t>
            </w:r>
          </w:p>
        </w:tc>
        <w:tc>
          <w:tcPr>
            <w:tcW w:type="dxa" w:w="2434"/>
            <w:vAlign w:val="top"/>
          </w:tcPr>
          <w:p>
            <w:r>
              <w:rPr>
                <w:sz w:val="13"/>
              </w:rPr>
              <w:t>Il retient de petits objets.</w:t>
            </w:r>
          </w:p>
        </w:tc>
        <w:tc>
          <w:tcPr>
            <w:tcW w:type="dxa" w:w="3139"/>
            <w:vAlign w:val="top"/>
          </w:tcPr>
          <w:p>
            <w:r>
              <w:rPr>
                <w:sz w:val="13"/>
              </w:rPr>
              <w:t>Impact concentré, masse ou vitesse auparavant tolérés ne le sont plus.</w:t>
            </w:r>
          </w:p>
        </w:tc>
        <w:tc>
          <w:tcPr>
            <w:tcW w:type="dxa" w:w="2794"/>
            <w:vAlign w:val="top"/>
          </w:tcPr>
          <w:p>
            <w:r>
              <w:rPr>
                <w:sz w:val="13"/>
              </w:rPr>
              <w:t>Même sortie présente, domaine de perturbations réduit.</w:t>
            </w:r>
          </w:p>
        </w:tc>
      </w:tr>
    </w:tbl>
    <w:p>
      <w:pPr>
        <w:spacing w:before="80" w:after="7"/>
      </w:pPr>
      <w:r>
        <w:rPr>
          <w:b/>
          <w:color w:val="2F7DBE"/>
          <w:sz w:val="23"/>
        </w:rPr>
        <w:t>51.2 Symétrie négative du futur</w:t>
      </w:r>
    </w:p>
    <w:p>
      <w:pPr>
        <w:pStyle w:val="ListBullet"/>
        <w:spacing w:after="7" w:before="0"/>
      </w:pPr>
      <w:r>
        <w:rPr>
          <w:sz w:val="16"/>
        </w:rPr>
        <w:t>Le filtre de cohérence ne prédit pas d’abord un futur unique : il retire les trajectoires que l’état actuel ne peut plus soutenir.</w:t>
      </w:r>
    </w:p>
    <w:p>
      <w:pPr>
        <w:pStyle w:val="ListBullet"/>
        <w:spacing w:after="7" w:before="0"/>
      </w:pPr>
      <w:r>
        <w:rPr>
          <w:sz w:val="16"/>
        </w:rPr>
        <w:t>La dette actuelle correspond alors au domaine de futurs perdus ou devenus dépendants d’une compensation supplémentaire.</w:t>
      </w:r>
    </w:p>
    <w:p>
      <w:pPr>
        <w:pStyle w:val="ListBullet"/>
        <w:spacing w:after="7" w:before="0"/>
      </w:pPr>
      <w:r>
        <w:rPr>
          <w:sz w:val="16"/>
        </w:rPr>
        <w:t>La compensation peut maintenir une trajectoire particulière ou restaurer une partie du domaine ; elle ne prouve pas que tous les futurs de référence sont revenus.</w:t>
      </w:r>
    </w:p>
    <w:p>
      <w:pPr>
        <w:pStyle w:val="ListBullet"/>
        <w:spacing w:after="7" w:before="0"/>
      </w:pPr>
      <w:r>
        <w:rPr>
          <w:sz w:val="16"/>
        </w:rPr>
        <w:t>Minimiser la dette signifie préserver le plus grand domaine de futurs critiques dans chaque cadre, sans en sacrifier silencieusement un autre.</w:t>
      </w:r>
    </w:p>
    <w:p>
      <w:pPr>
        <w:spacing w:before="80" w:after="7"/>
      </w:pPr>
      <w:r>
        <w:rPr>
          <w:b/>
          <w:color w:val="2F7DBE"/>
          <w:sz w:val="23"/>
        </w:rPr>
        <w:t>51.3 Objet minimal — un ensemble, pas encore un nombre</w:t>
      </w:r>
    </w:p>
    <w:p>
      <w:pPr>
        <w:spacing w:before="0" w:after="7"/>
        <w:jc w:val="center"/>
      </w:pPr>
      <w:r>
        <w:rPr>
          <w:b/>
          <w:color w:val="1F4E79"/>
          <w:sz w:val="21"/>
        </w:rPr>
        <w:t>L(C,H) = Aᵣᵉᶠ(C,H) \ A(C,H)</w:t>
      </w:r>
    </w:p>
    <w:p>
      <w:pPr>
        <w:pStyle w:val="ListBullet"/>
        <w:spacing w:after="7" w:before="0"/>
      </w:pPr>
      <w:r>
        <w:rPr>
          <w:sz w:val="16"/>
        </w:rPr>
        <w:t>A(C,H) : ensemble des trajectoires admissibles de C dans l’horizon H et sous le domaine de perturbations préfixé ; Aᵣᵉᶠ : ensemble de référence comparable.</w:t>
      </w:r>
    </w:p>
    <w:p>
      <w:pPr>
        <w:pStyle w:val="ListBullet"/>
        <w:spacing w:after="7" w:before="0"/>
      </w:pPr>
      <w:r>
        <w:rPr>
          <w:sz w:val="16"/>
        </w:rPr>
        <w:t>L(C,H) : futurs de référence devenus inadmissibles. C’est un profil de dette, pas un scalaire automatiquement mesurable.</w:t>
      </w:r>
    </w:p>
    <w:p>
      <w:pPr>
        <w:pStyle w:val="ListBullet"/>
        <w:spacing w:after="7" w:before="0"/>
      </w:pPr>
      <w:r>
        <w:rPr>
          <w:sz w:val="16"/>
        </w:rPr>
        <w:t>Si A et Aᵣᵉᶠ ne sont pas inclus l’un dans l’autre, le verdict reste multicritère : des capacités peuvent être gagnées pendant que d’autres sont perdues.</w:t>
      </w:r>
    </w:p>
    <w:p>
      <w:pPr>
        <w:pStyle w:val="ListBullet"/>
        <w:spacing w:after="7" w:before="0"/>
      </w:pPr>
      <w:r>
        <w:rPr>
          <w:sz w:val="16"/>
        </w:rPr>
        <w:t>Compter les futurs n’a pas de sens sans mesure, poids des invariants et criticité préfixés ; toute cardinalité brute serait une fausse précision.</w:t>
      </w:r>
    </w:p>
    <w:p>
      <w:pPr>
        <w:spacing w:before="80" w:after="7"/>
      </w:pPr>
      <w:r>
        <w:rPr>
          <w:b/>
          <w:color w:val="2F7DBE"/>
          <w:sz w:val="23"/>
        </w:rPr>
        <w:t>51.4 Calcul multicadre obligatoire</w:t>
      </w:r>
    </w:p>
    <w:p>
      <w:pPr>
        <w:pStyle w:val="ListBullet"/>
        <w:spacing w:after="7" w:before="0"/>
      </w:pPr>
      <w:r>
        <w:rPr>
          <w:sz w:val="16"/>
        </w:rPr>
        <w:t>Six structures : PASS qualitatif — une même sortie présente peut masquer des contractions différentes du domaine futur.</w:t>
      </w:r>
    </w:p>
    <w:p>
      <w:pPr>
        <w:pStyle w:val="ListBullet"/>
        <w:spacing w:after="7" w:before="0"/>
      </w:pPr>
      <w:r>
        <w:rPr>
          <w:sz w:val="16"/>
        </w:rPr>
        <w:t>Composants → englobant : PASS structurel — la dette supérieure est actuelle dès que ses trajectoires admissibles se contractent.</w:t>
      </w:r>
    </w:p>
    <w:p>
      <w:pPr>
        <w:pStyle w:val="ListBullet"/>
        <w:spacing w:after="7" w:before="0"/>
      </w:pPr>
      <w:r>
        <w:rPr>
          <w:sz w:val="16"/>
        </w:rPr>
        <w:t>Mesure du domaine, horizon, perturbations et criticités : NON_MESURÉS tant qu’ils ne sont pas préfixés et instrumentés.</w:t>
      </w:r>
    </w:p>
    <w:p>
      <w:pPr>
        <w:pStyle w:val="ListBullet"/>
        <w:spacing w:after="7" w:before="0"/>
      </w:pPr>
      <w:r>
        <w:rPr>
          <w:sz w:val="16"/>
        </w:rPr>
        <w:t>Chaîne jusqu’à la planète : obligatoire ; comparaison réelle des futurs planétaires = NON_MESURÉE.</w:t>
      </w:r>
    </w:p>
    <w:p>
      <w:pPr>
        <w:pStyle w:val="ListBullet"/>
        <w:spacing w:after="7" w:before="0"/>
      </w:pPr>
      <w:r>
        <w:rPr>
          <w:sz w:val="16"/>
        </w:rPr>
        <w:t>Correspondance exacte de cette formulation avec le corpus canonique : NON_VÉRIFIÉE dans ce passage.</w:t>
      </w:r>
    </w:p>
    <w:p>
      <w:pPr>
        <w:spacing w:before="0" w:after="7"/>
        <w:jc w:val="center"/>
      </w:pPr>
      <w:r>
        <w:rPr>
          <w:b/>
          <w:color w:val="1F4E79"/>
          <w:sz w:val="19"/>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7"/>
              </w:rPr>
              <w:t>VERROU — Fonction présente ≠ état complet. La dette commence quand les futurs admissibles se contractent. Aucun scalaire avant fixation des perturbations, de l’horizon et des invariants.</w:t>
            </w:r>
          </w:p>
        </w:tc>
      </w:tr>
    </w:tbl>
    <w:p>
      <w:pPr>
        <w:pageBreakBefore/>
        <w:spacing w:before="100" w:after="50"/>
      </w:pPr>
      <w:r>
        <w:rPr>
          <w:b/>
          <w:color w:val="2F7DBE"/>
          <w:sz w:val="28"/>
        </w:rPr>
        <w:t>SECTION 52 — Potentialisation relationnelle — la topologie fait la dette supérieure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7"/>
              </w:rPr>
              <w:t>RÉSULTAT — À nombre et gravité de défauts locaux comparables, la dette de l’objet englobant change avec leur position, leurs liaisons et les charges. Elle n’est donc ni la copie ni la somme automatique des dettes locales : c’est un nouvel écart relationnel propre à l’englobant.</w:t>
            </w:r>
          </w:p>
        </w:tc>
      </w:tr>
    </w:tbl>
    <w:p>
      <w:pPr>
        <w:spacing w:before="100" w:after="50"/>
      </w:pPr>
      <w:r>
        <w:rPr>
          <w:b/>
          <w:color w:val="2F7DBE"/>
          <w:sz w:val="23"/>
        </w:rPr>
        <w:t>52.1 Six comparaisons simples à inventaire local égal</w:t>
      </w:r>
    </w:p>
    <w:tbl>
      <w:tblPr>
        <w:tblStyle w:val="TableGrid"/>
        <w:tblW w:type="auto" w:w="0"/>
        <w:tblLook w:firstColumn="1" w:firstRow="1" w:lastColumn="0" w:lastRow="0" w:noHBand="0" w:noVBand="1" w:val="04A0"/>
      </w:tblPr>
      <w:tblGrid>
        <w:gridCol w:w="2592"/>
        <w:gridCol w:w="2592"/>
        <w:gridCol w:w="2592"/>
        <w:gridCol w:w="2592"/>
      </w:tblGrid>
      <w:tr>
        <w:tc>
          <w:tcPr>
            <w:tcW w:type="dxa" w:w="1656"/>
            <w:shd w:fill="D9EAF7"/>
          </w:tcPr>
          <w:p>
            <w:r>
              <w:rPr>
                <w:b/>
                <w:color w:val="1F4E79"/>
                <w:sz w:val="14"/>
              </w:rPr>
              <w:t>Englobant</w:t>
            </w:r>
          </w:p>
        </w:tc>
        <w:tc>
          <w:tcPr>
            <w:tcW w:type="dxa" w:w="2952"/>
            <w:shd w:fill="D9EAF7"/>
          </w:tcPr>
          <w:p>
            <w:r>
              <w:rPr>
                <w:b/>
                <w:color w:val="1F4E79"/>
                <w:sz w:val="14"/>
              </w:rPr>
              <w:t>Configuration A</w:t>
            </w:r>
          </w:p>
        </w:tc>
        <w:tc>
          <w:tcPr>
            <w:tcW w:type="dxa" w:w="2952"/>
            <w:shd w:fill="D9EAF7"/>
          </w:tcPr>
          <w:p>
            <w:r>
              <w:rPr>
                <w:b/>
                <w:color w:val="1F4E79"/>
                <w:sz w:val="14"/>
              </w:rPr>
              <w:t>Configuration B</w:t>
            </w:r>
          </w:p>
        </w:tc>
        <w:tc>
          <w:tcPr>
            <w:tcW w:type="dxa" w:w="2477"/>
            <w:shd w:fill="D9EAF7"/>
          </w:tcPr>
          <w:p>
            <w:r>
              <w:rPr>
                <w:b/>
                <w:color w:val="1F4E79"/>
                <w:sz w:val="14"/>
              </w:rPr>
              <w:t>Dette supérieure</w:t>
            </w:r>
          </w:p>
        </w:tc>
      </w:tr>
      <w:tr>
        <w:tc>
          <w:tcPr>
            <w:tcW w:type="dxa" w:w="1656"/>
            <w:vAlign w:val="top"/>
          </w:tcPr>
          <w:p>
            <w:r>
              <w:rPr>
                <w:sz w:val="13"/>
              </w:rPr>
              <w:t>Château Lego</w:t>
            </w:r>
          </w:p>
        </w:tc>
        <w:tc>
          <w:tcPr>
            <w:tcW w:type="dxa" w:w="2952"/>
            <w:vAlign w:val="top"/>
          </w:tcPr>
          <w:p>
            <w:r>
              <w:rPr>
                <w:sz w:val="13"/>
              </w:rPr>
              <w:t>Briques fissurées au sommet, hors chemin principal de charge.</w:t>
            </w:r>
          </w:p>
        </w:tc>
        <w:tc>
          <w:tcPr>
            <w:tcW w:type="dxa" w:w="2952"/>
            <w:vAlign w:val="top"/>
          </w:tcPr>
          <w:p>
            <w:r>
              <w:rPr>
                <w:sz w:val="13"/>
              </w:rPr>
              <w:t>Mêmes fissures regroupées à la base porteuse.</w:t>
            </w:r>
          </w:p>
        </w:tc>
        <w:tc>
          <w:tcPr>
            <w:tcW w:type="dxa" w:w="2477"/>
            <w:vAlign w:val="top"/>
          </w:tcPr>
          <w:p>
            <w:r>
              <w:rPr>
                <w:sz w:val="13"/>
              </w:rPr>
              <w:t>B généralement plus critique : stabilité et futurs admissibles plus contractés.</w:t>
            </w:r>
          </w:p>
        </w:tc>
      </w:tr>
      <w:tr>
        <w:tc>
          <w:tcPr>
            <w:tcW w:type="dxa" w:w="1656"/>
            <w:vAlign w:val="top"/>
          </w:tcPr>
          <w:p>
            <w:r>
              <w:rPr>
                <w:sz w:val="13"/>
              </w:rPr>
              <w:t>Corde</w:t>
            </w:r>
          </w:p>
        </w:tc>
        <w:tc>
          <w:tcPr>
            <w:tcW w:type="dxa" w:w="2952"/>
            <w:vAlign w:val="top"/>
          </w:tcPr>
          <w:p>
            <w:r>
              <w:rPr>
                <w:sz w:val="13"/>
              </w:rPr>
              <w:t>Fibres coupées réparties le long de la corde.</w:t>
            </w:r>
          </w:p>
        </w:tc>
        <w:tc>
          <w:tcPr>
            <w:tcW w:type="dxa" w:w="2952"/>
            <w:vAlign w:val="top"/>
          </w:tcPr>
          <w:p>
            <w:r>
              <w:rPr>
                <w:sz w:val="13"/>
              </w:rPr>
              <w:t>Même nombre concentré dans une seule section.</w:t>
            </w:r>
          </w:p>
        </w:tc>
        <w:tc>
          <w:tcPr>
            <w:tcW w:type="dxa" w:w="2477"/>
            <w:vAlign w:val="top"/>
          </w:tcPr>
          <w:p>
            <w:r>
              <w:rPr>
                <w:sz w:val="13"/>
              </w:rPr>
              <w:t>B concentre la contrainte et rapproche la rupture locale.</w:t>
            </w:r>
          </w:p>
        </w:tc>
      </w:tr>
      <w:tr>
        <w:tc>
          <w:tcPr>
            <w:tcW w:type="dxa" w:w="1656"/>
            <w:vAlign w:val="top"/>
          </w:tcPr>
          <w:p>
            <w:r>
              <w:rPr>
                <w:sz w:val="13"/>
              </w:rPr>
              <w:t>Vitre</w:t>
            </w:r>
          </w:p>
        </w:tc>
        <w:tc>
          <w:tcPr>
            <w:tcW w:type="dxa" w:w="2952"/>
            <w:vAlign w:val="top"/>
          </w:tcPr>
          <w:p>
            <w:r>
              <w:rPr>
                <w:sz w:val="13"/>
              </w:rPr>
              <w:t>Microfissures séparées et non alignées.</w:t>
            </w:r>
          </w:p>
        </w:tc>
        <w:tc>
          <w:tcPr>
            <w:tcW w:type="dxa" w:w="2952"/>
            <w:vAlign w:val="top"/>
          </w:tcPr>
          <w:p>
            <w:r>
              <w:rPr>
                <w:sz w:val="13"/>
              </w:rPr>
              <w:t>Mêmes fissures reliées en chemin traversant.</w:t>
            </w:r>
          </w:p>
        </w:tc>
        <w:tc>
          <w:tcPr>
            <w:tcW w:type="dxa" w:w="2477"/>
            <w:vAlign w:val="top"/>
          </w:tcPr>
          <w:p>
            <w:r>
              <w:rPr>
                <w:sz w:val="13"/>
              </w:rPr>
              <w:t>B facilite la propagation ; la connectivité transforme la robustesse.</w:t>
            </w:r>
          </w:p>
        </w:tc>
      </w:tr>
      <w:tr>
        <w:tc>
          <w:tcPr>
            <w:tcW w:type="dxa" w:w="1656"/>
            <w:vAlign w:val="top"/>
          </w:tcPr>
          <w:p>
            <w:r>
              <w:rPr>
                <w:sz w:val="13"/>
              </w:rPr>
              <w:t>Roulement</w:t>
            </w:r>
          </w:p>
        </w:tc>
        <w:tc>
          <w:tcPr>
            <w:tcW w:type="dxa" w:w="2952"/>
            <w:vAlign w:val="top"/>
          </w:tcPr>
          <w:p>
            <w:r>
              <w:rPr>
                <w:sz w:val="13"/>
              </w:rPr>
              <w:t>Billes usées réparties autour de la cage.</w:t>
            </w:r>
          </w:p>
        </w:tc>
        <w:tc>
          <w:tcPr>
            <w:tcW w:type="dxa" w:w="2952"/>
            <w:vAlign w:val="top"/>
          </w:tcPr>
          <w:p>
            <w:r>
              <w:rPr>
                <w:sz w:val="13"/>
              </w:rPr>
              <w:t>Mêmes billes usées adjacentes dans une zone chargée.</w:t>
            </w:r>
          </w:p>
        </w:tc>
        <w:tc>
          <w:tcPr>
            <w:tcW w:type="dxa" w:w="2477"/>
            <w:vAlign w:val="top"/>
          </w:tcPr>
          <w:p>
            <w:r>
              <w:rPr>
                <w:sz w:val="13"/>
              </w:rPr>
              <w:t>B peut concentrer jeu, vibration et échauffement.</w:t>
            </w:r>
          </w:p>
        </w:tc>
      </w:tr>
      <w:tr>
        <w:tc>
          <w:tcPr>
            <w:tcW w:type="dxa" w:w="1656"/>
            <w:vAlign w:val="top"/>
          </w:tcPr>
          <w:p>
            <w:r>
              <w:rPr>
                <w:sz w:val="13"/>
              </w:rPr>
              <w:t>Chaîne</w:t>
            </w:r>
          </w:p>
        </w:tc>
        <w:tc>
          <w:tcPr>
            <w:tcW w:type="dxa" w:w="2952"/>
            <w:vAlign w:val="top"/>
          </w:tcPr>
          <w:p>
            <w:r>
              <w:rPr>
                <w:sz w:val="13"/>
              </w:rPr>
              <w:t>Usures faibles réparties sur plusieurs maillons.</w:t>
            </w:r>
          </w:p>
        </w:tc>
        <w:tc>
          <w:tcPr>
            <w:tcW w:type="dxa" w:w="2952"/>
            <w:vAlign w:val="top"/>
          </w:tcPr>
          <w:p>
            <w:r>
              <w:rPr>
                <w:sz w:val="13"/>
              </w:rPr>
              <w:t>Usure équivalente concentrée sur le maillon le plus chargé.</w:t>
            </w:r>
          </w:p>
        </w:tc>
        <w:tc>
          <w:tcPr>
            <w:tcW w:type="dxa" w:w="2477"/>
            <w:vAlign w:val="top"/>
          </w:tcPr>
          <w:p>
            <w:r>
              <w:rPr>
                <w:sz w:val="13"/>
              </w:rPr>
              <w:t>B réduit davantage la charge admissible de la chaîne.</w:t>
            </w:r>
          </w:p>
        </w:tc>
      </w:tr>
      <w:tr>
        <w:tc>
          <w:tcPr>
            <w:tcW w:type="dxa" w:w="1656"/>
            <w:vAlign w:val="top"/>
          </w:tcPr>
          <w:p>
            <w:r>
              <w:rPr>
                <w:sz w:val="13"/>
              </w:rPr>
              <w:t>Filet</w:t>
            </w:r>
          </w:p>
        </w:tc>
        <w:tc>
          <w:tcPr>
            <w:tcW w:type="dxa" w:w="2952"/>
            <w:vAlign w:val="top"/>
          </w:tcPr>
          <w:p>
            <w:r>
              <w:rPr>
                <w:sz w:val="13"/>
              </w:rPr>
              <w:t>Mailles fragiles espacées.</w:t>
            </w:r>
          </w:p>
        </w:tc>
        <w:tc>
          <w:tcPr>
            <w:tcW w:type="dxa" w:w="2952"/>
            <w:vAlign w:val="top"/>
          </w:tcPr>
          <w:p>
            <w:r>
              <w:rPr>
                <w:sz w:val="13"/>
              </w:rPr>
              <w:t>Mêmes mailles fragiles contiguës au point d’impact.</w:t>
            </w:r>
          </w:p>
        </w:tc>
        <w:tc>
          <w:tcPr>
            <w:tcW w:type="dxa" w:w="2477"/>
            <w:vAlign w:val="top"/>
          </w:tcPr>
          <w:p>
            <w:r>
              <w:rPr>
                <w:sz w:val="13"/>
              </w:rPr>
              <w:t>B ouvre une voie de propagation ; A peut être partiellement amortie.</w:t>
            </w:r>
          </w:p>
        </w:tc>
      </w:tr>
    </w:tbl>
    <w:p>
      <w:pPr>
        <w:spacing w:before="100" w:after="50"/>
      </w:pPr>
      <w:r>
        <w:rPr>
          <w:b/>
          <w:color w:val="2F7DBE"/>
          <w:sz w:val="23"/>
        </w:rPr>
        <w:t>52.2 Ce qui est potentialisé</w:t>
      </w:r>
    </w:p>
    <w:p>
      <w:pPr>
        <w:pStyle w:val="ListBullet"/>
        <w:spacing w:after="12"/>
      </w:pPr>
      <w:r>
        <w:rPr>
          <w:sz w:val="17"/>
        </w:rPr>
        <w:t>Le défaut local modifie une relation ; l’ensemble de ces relations modifiées change la réponse propre de l’englobant.</w:t>
      </w:r>
    </w:p>
    <w:p>
      <w:pPr>
        <w:pStyle w:val="ListBullet"/>
        <w:spacing w:after="12"/>
      </w:pPr>
      <w:r>
        <w:rPr>
          <w:sz w:val="17"/>
        </w:rPr>
        <w:t>La potentialisation peut amplifier, concentrer, répartir ou amortir l’effet. Son signe et son amplitude ne se déduisent pas du seul nombre de composants atteints.</w:t>
      </w:r>
    </w:p>
    <w:p>
      <w:pPr>
        <w:pStyle w:val="ListBullet"/>
        <w:spacing w:after="12"/>
      </w:pPr>
      <w:r>
        <w:rPr>
          <w:sz w:val="17"/>
        </w:rPr>
        <w:t>La dette supérieure porte sur les proxys de l’englobant : stabilité, réserve, chemin de charge, redondance et futurs admissibles.</w:t>
      </w:r>
    </w:p>
    <w:p>
      <w:pPr>
        <w:pStyle w:val="ListBullet"/>
        <w:spacing w:after="12"/>
      </w:pPr>
      <w:r>
        <w:rPr>
          <w:sz w:val="17"/>
        </w:rPr>
        <w:t>Deux configurations localement équivalentes ne sont globalement comparables que si topologie, position, charges, horizon et référence sont aussi fixés.</w:t>
      </w:r>
    </w:p>
    <w:p>
      <w:pPr>
        <w:spacing w:before="100" w:after="50"/>
      </w:pPr>
      <w:r>
        <w:rPr>
          <w:b/>
          <w:color w:val="2F7DBE"/>
          <w:sz w:val="23"/>
        </w:rPr>
        <w:t>52.3 Objet minimal — un profil transformé par les relations</w:t>
      </w:r>
    </w:p>
    <w:p>
      <w:pPr>
        <w:spacing w:after="20"/>
        <w:jc w:val="center"/>
      </w:pPr>
      <w:r>
        <w:rPr>
          <w:b/>
          <w:color w:val="1F4E79"/>
          <w:sz w:val="21"/>
        </w:rPr>
        <w:t>Pᴄ = Fᴄ({pᵢ}, Gᴄ, Λᴄ, H)</w:t>
      </w:r>
    </w:p>
    <w:p>
      <w:pPr>
        <w:pStyle w:val="ListBullet"/>
        <w:spacing w:after="12"/>
      </w:pPr>
      <w:r>
        <w:rPr>
          <w:sz w:val="17"/>
        </w:rPr>
        <w:t>{pᵢ} : profils locaux ; Gᴄ : relations et topologie ; Λᴄ : charges ou perturbations ; H : horizon ; Pᴄ : profil d’écart propre à l’englobant C.</w:t>
      </w:r>
    </w:p>
    <w:p>
      <w:pPr>
        <w:pStyle w:val="ListBullet"/>
        <w:spacing w:after="12"/>
      </w:pPr>
      <w:r>
        <w:rPr>
          <w:sz w:val="17"/>
        </w:rPr>
        <w:t>Cette écriture borne les dépendances ; elle ne donne aucun nombre tant que Fᴄ, les unités, les références et les proxys ne sont pas calibrés.</w:t>
      </w:r>
    </w:p>
    <w:p>
      <w:pPr>
        <w:pStyle w:val="ListBullet"/>
        <w:spacing w:after="12"/>
      </w:pPr>
      <w:r>
        <w:rPr>
          <w:sz w:val="17"/>
        </w:rPr>
        <w:t>Une somme n’est admissible que si séparabilité, indépendance, unités communes et absence de recouvrement causal ont été démontrées.</w:t>
      </w:r>
    </w:p>
    <w:p>
      <w:pPr>
        <w:spacing w:before="100" w:after="50"/>
      </w:pPr>
      <w:r>
        <w:rPr>
          <w:b/>
          <w:color w:val="2F7DBE"/>
          <w:sz w:val="23"/>
        </w:rPr>
        <w:t>52.4 Calcul multicadre obligatoire</w:t>
      </w:r>
    </w:p>
    <w:p>
      <w:pPr>
        <w:pStyle w:val="ListBullet"/>
        <w:spacing w:after="12"/>
      </w:pPr>
      <w:r>
        <w:rPr>
          <w:sz w:val="17"/>
        </w:rPr>
        <w:t>Six paires : PASS qualitatif — même inventaire local, réponses supérieures différentes selon l’agencement.</w:t>
      </w:r>
    </w:p>
    <w:p>
      <w:pPr>
        <w:pStyle w:val="ListBullet"/>
        <w:spacing w:after="12"/>
      </w:pPr>
      <w:r>
        <w:rPr>
          <w:sz w:val="17"/>
        </w:rPr>
        <w:t>Local + voisins + englobant : PASS structurel — les relations sont nécessaires pour expliquer la différence.</w:t>
      </w:r>
    </w:p>
    <w:p>
      <w:pPr>
        <w:pStyle w:val="ListBullet"/>
        <w:spacing w:after="12"/>
      </w:pPr>
      <w:r>
        <w:rPr>
          <w:sz w:val="17"/>
        </w:rPr>
        <w:t>Amplification, amortissement, seuils et ordre exact entre A et B : NON_MESURÉS sans géométrie, matériaux, charges et essais préfixés.</w:t>
      </w:r>
    </w:p>
    <w:p>
      <w:pPr>
        <w:pStyle w:val="ListBullet"/>
        <w:spacing w:after="12"/>
      </w:pPr>
      <w:r>
        <w:rPr>
          <w:sz w:val="17"/>
        </w:rPr>
        <w:t>Cadres jusqu’à la planète : obligatoires ; contribution terminale réelle de chaque configuration = NON_MESURÉE.</w:t>
      </w:r>
    </w:p>
    <w:p>
      <w:pPr>
        <w:pStyle w:val="ListBullet"/>
        <w:spacing w:after="12"/>
      </w:pPr>
      <w:r>
        <w:rPr>
          <w:sz w:val="17"/>
        </w:rPr>
        <w:t>Correspondance exacte avec le corpus canonique : NON_VÉRIFIÉE dans ce passage.</w:t>
      </w:r>
    </w:p>
    <w:p>
      <w:pPr>
        <w:spacing w:after="20"/>
        <w:jc w:val="center"/>
      </w:pPr>
      <w:r>
        <w:rPr>
          <w:b/>
          <w:color w:val="1F4E79"/>
          <w:sz w:val="19"/>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7"/>
              </w:rPr>
              <w:t>VERROU — La potentialisation est relationnelle. Le nombre de défauts ne suffit jamais : la dette supérieure dépend de leur topologie, de leur position et des interactions causales. Ne pas additionner les dettes locales sans preuve de séparabilité.</w:t>
            </w:r>
          </w:p>
        </w:tc>
      </w:tr>
    </w:tbl>
    <w:p>
      <w:pPr>
        <w:pageBreakBefore/>
        <w:spacing w:before="100" w:after="50"/>
      </w:pPr>
      <w:r>
        <w:rPr>
          <w:b/>
          <w:color w:val="2F7DBE"/>
          <w:sz w:val="27"/>
        </w:rPr>
        <w:t>SECTION 53 — Le temps de compensation appartient au cadre, mais n’est pas toute la dette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7"/>
              </w:rPr>
              <w:t>RÉSULTAT — Le temps supplémentaire nécessaire pour atteindre durablement la meilleure cible encore admissible est un excellent proxy dynamique de dette résorbable. Le cadre conserve séparément la référence historique de la perte et la frontière atteignable de compensation.</w:t>
            </w:r>
          </w:p>
        </w:tc>
      </w:tr>
    </w:tbl>
    <w:p>
      <w:pPr>
        <w:spacing w:before="100" w:after="50"/>
      </w:pPr>
      <w:r>
        <w:rPr>
          <w:b/>
          <w:color w:val="2F7DBE"/>
          <w:sz w:val="23"/>
        </w:rPr>
        <w:t>53.1 Passage sur six objets simples</w:t>
      </w:r>
    </w:p>
    <w:tbl>
      <w:tblPr>
        <w:tblStyle w:val="TableGrid"/>
        <w:tblW w:type="auto" w:w="0"/>
        <w:tblLook w:firstColumn="1" w:firstRow="1" w:lastColumn="0" w:lastRow="0" w:noHBand="0" w:noVBand="1" w:val="04A0"/>
      </w:tblPr>
      <w:tblGrid>
        <w:gridCol w:w="2592"/>
        <w:gridCol w:w="2592"/>
        <w:gridCol w:w="2592"/>
        <w:gridCol w:w="2592"/>
      </w:tblGrid>
      <w:tr>
        <w:tc>
          <w:tcPr>
            <w:tcW w:type="dxa" w:w="1642"/>
            <w:shd w:fill="D9EAF7"/>
          </w:tcPr>
          <w:p>
            <w:r>
              <w:rPr>
                <w:b/>
                <w:color w:val="1F4E79"/>
                <w:sz w:val="14"/>
              </w:rPr>
              <w:t>Objet / cadre</w:t>
            </w:r>
          </w:p>
        </w:tc>
        <w:tc>
          <w:tcPr>
            <w:tcW w:type="dxa" w:w="2707"/>
            <w:shd w:fill="D9EAF7"/>
          </w:tcPr>
          <w:p>
            <w:r>
              <w:rPr>
                <w:b/>
                <w:color w:val="1F4E79"/>
                <w:sz w:val="14"/>
              </w:rPr>
              <w:t>Écart présent</w:t>
            </w:r>
          </w:p>
        </w:tc>
        <w:tc>
          <w:tcPr>
            <w:tcW w:type="dxa" w:w="2909"/>
            <w:shd w:fill="D9EAF7"/>
          </w:tcPr>
          <w:p>
            <w:r>
              <w:rPr>
                <w:b/>
                <w:color w:val="1F4E79"/>
                <w:sz w:val="14"/>
              </w:rPr>
              <w:t>Pourquoi le temps varie</w:t>
            </w:r>
          </w:p>
        </w:tc>
        <w:tc>
          <w:tcPr>
            <w:tcW w:type="dxa" w:w="2779"/>
            <w:shd w:fill="D9EAF7"/>
          </w:tcPr>
          <w:p>
            <w:r>
              <w:rPr>
                <w:b/>
                <w:color w:val="1F4E79"/>
                <w:sz w:val="14"/>
              </w:rPr>
              <w:t>Verdict intuitif</w:t>
            </w:r>
          </w:p>
        </w:tc>
      </w:tr>
      <w:tr>
        <w:tc>
          <w:tcPr>
            <w:tcW w:type="dxa" w:w="1642"/>
            <w:vAlign w:val="top"/>
          </w:tcPr>
          <w:p>
            <w:r>
              <w:rPr>
                <w:sz w:val="13"/>
              </w:rPr>
              <w:t>Bille / plateau</w:t>
            </w:r>
          </w:p>
        </w:tc>
        <w:tc>
          <w:tcPr>
            <w:tcW w:type="dxa" w:w="2707"/>
            <w:vAlign w:val="top"/>
          </w:tcPr>
          <w:p>
            <w:r>
              <w:rPr>
                <w:sz w:val="13"/>
              </w:rPr>
              <w:t>Bille déplacée de sa position de référence.</w:t>
            </w:r>
          </w:p>
        </w:tc>
        <w:tc>
          <w:tcPr>
            <w:tcW w:type="dxa" w:w="2909"/>
            <w:vAlign w:val="top"/>
          </w:tcPr>
          <w:p>
            <w:r>
              <w:rPr>
                <w:sz w:val="13"/>
              </w:rPr>
              <w:t>Pente, main disponible ou butée changent le retour.</w:t>
            </w:r>
          </w:p>
        </w:tc>
        <w:tc>
          <w:tcPr>
            <w:tcW w:type="dxa" w:w="2779"/>
            <w:vAlign w:val="top"/>
          </w:tcPr>
          <w:p>
            <w:r>
              <w:rPr>
                <w:sz w:val="13"/>
              </w:rPr>
              <w:t>Même écart de position, temps différent selon le cadre et ses moyens.</w:t>
            </w:r>
          </w:p>
        </w:tc>
      </w:tr>
      <w:tr>
        <w:tc>
          <w:tcPr>
            <w:tcW w:type="dxa" w:w="1642"/>
            <w:vAlign w:val="top"/>
          </w:tcPr>
          <w:p>
            <w:r>
              <w:rPr>
                <w:sz w:val="13"/>
              </w:rPr>
              <w:t>Feuille / bureau</w:t>
            </w:r>
          </w:p>
        </w:tc>
        <w:tc>
          <w:tcPr>
            <w:tcW w:type="dxa" w:w="2707"/>
            <w:vAlign w:val="top"/>
          </w:tcPr>
          <w:p>
            <w:r>
              <w:rPr>
                <w:sz w:val="13"/>
              </w:rPr>
              <w:t>Feuille froissée ou déplacée.</w:t>
            </w:r>
          </w:p>
        </w:tc>
        <w:tc>
          <w:tcPr>
            <w:tcW w:type="dxa" w:w="2909"/>
            <w:vAlign w:val="top"/>
          </w:tcPr>
          <w:p>
            <w:r>
              <w:rPr>
                <w:sz w:val="13"/>
              </w:rPr>
              <w:t>La remettre à sa place est rapide ; retrouver sa planéité peut être impossible.</w:t>
            </w:r>
          </w:p>
        </w:tc>
        <w:tc>
          <w:tcPr>
            <w:tcW w:type="dxa" w:w="2779"/>
            <w:vAlign w:val="top"/>
          </w:tcPr>
          <w:p>
            <w:r>
              <w:rPr>
                <w:sz w:val="13"/>
              </w:rPr>
              <w:t>Le temps dépend de l’invariant choisi : position ou forme.</w:t>
            </w:r>
          </w:p>
        </w:tc>
      </w:tr>
      <w:tr>
        <w:tc>
          <w:tcPr>
            <w:tcW w:type="dxa" w:w="1642"/>
            <w:vAlign w:val="top"/>
          </w:tcPr>
          <w:p>
            <w:r>
              <w:rPr>
                <w:sz w:val="13"/>
              </w:rPr>
              <w:t>Élastique / montage</w:t>
            </w:r>
          </w:p>
        </w:tc>
        <w:tc>
          <w:tcPr>
            <w:tcW w:type="dxa" w:w="2707"/>
            <w:vAlign w:val="top"/>
          </w:tcPr>
          <w:p>
            <w:r>
              <w:rPr>
                <w:sz w:val="13"/>
              </w:rPr>
              <w:t>Tension hors référence.</w:t>
            </w:r>
          </w:p>
        </w:tc>
        <w:tc>
          <w:tcPr>
            <w:tcW w:type="dxa" w:w="2909"/>
            <w:vAlign w:val="top"/>
          </w:tcPr>
          <w:p>
            <w:r>
              <w:rPr>
                <w:sz w:val="13"/>
              </w:rPr>
              <w:t>Retour spontané, réglage des appuis ou remplacement donnent des durées différentes.</w:t>
            </w:r>
          </w:p>
        </w:tc>
        <w:tc>
          <w:tcPr>
            <w:tcW w:type="dxa" w:w="2779"/>
            <w:vAlign w:val="top"/>
          </w:tcPr>
          <w:p>
            <w:r>
              <w:rPr>
                <w:sz w:val="13"/>
              </w:rPr>
              <w:t>Le temps mesure état + capacité de compensation.</w:t>
            </w:r>
          </w:p>
        </w:tc>
      </w:tr>
      <w:tr>
        <w:tc>
          <w:tcPr>
            <w:tcW w:type="dxa" w:w="1642"/>
            <w:vAlign w:val="top"/>
          </w:tcPr>
          <w:p>
            <w:r>
              <w:rPr>
                <w:sz w:val="13"/>
              </w:rPr>
              <w:t>Lego / château</w:t>
            </w:r>
          </w:p>
        </w:tc>
        <w:tc>
          <w:tcPr>
            <w:tcW w:type="dxa" w:w="2707"/>
            <w:vAlign w:val="top"/>
          </w:tcPr>
          <w:p>
            <w:r>
              <w:rPr>
                <w:sz w:val="13"/>
              </w:rPr>
              <w:t>Briques fissurées, réserve structurale réduite.</w:t>
            </w:r>
          </w:p>
        </w:tc>
        <w:tc>
          <w:tcPr>
            <w:tcW w:type="dxa" w:w="2909"/>
            <w:vAlign w:val="top"/>
          </w:tcPr>
          <w:p>
            <w:r>
              <w:rPr>
                <w:sz w:val="13"/>
              </w:rPr>
              <w:t>Plus de mains ou des pièces neuves accélèrent la restauration.</w:t>
            </w:r>
          </w:p>
        </w:tc>
        <w:tc>
          <w:tcPr>
            <w:tcW w:type="dxa" w:w="2779"/>
            <w:vAlign w:val="top"/>
          </w:tcPr>
          <w:p>
            <w:r>
              <w:rPr>
                <w:sz w:val="13"/>
              </w:rPr>
              <w:t>La dette de robustesse ne change pas uniquement parce que l’équipe est plus rapide.</w:t>
            </w:r>
          </w:p>
        </w:tc>
      </w:tr>
      <w:tr>
        <w:tc>
          <w:tcPr>
            <w:tcW w:type="dxa" w:w="1642"/>
            <w:vAlign w:val="top"/>
          </w:tcPr>
          <w:p>
            <w:r>
              <w:rPr>
                <w:sz w:val="13"/>
              </w:rPr>
              <w:t>Verre / fenêtre</w:t>
            </w:r>
          </w:p>
        </w:tc>
        <w:tc>
          <w:tcPr>
            <w:tcW w:type="dxa" w:w="2707"/>
            <w:vAlign w:val="top"/>
          </w:tcPr>
          <w:p>
            <w:r>
              <w:rPr>
                <w:sz w:val="13"/>
              </w:rPr>
              <w:t>Vitre fissurée mais encore en place.</w:t>
            </w:r>
          </w:p>
        </w:tc>
        <w:tc>
          <w:tcPr>
            <w:tcW w:type="dxa" w:w="2909"/>
            <w:vAlign w:val="top"/>
          </w:tcPr>
          <w:p>
            <w:r>
              <w:rPr>
                <w:sz w:val="13"/>
              </w:rPr>
              <w:t>Attendre ne répare pas ; remplacement ou refonte changent le cadre de retour.</w:t>
            </w:r>
          </w:p>
        </w:tc>
        <w:tc>
          <w:tcPr>
            <w:tcW w:type="dxa" w:w="2779"/>
            <w:vAlign w:val="top"/>
          </w:tcPr>
          <w:p>
            <w:r>
              <w:rPr>
                <w:sz w:val="13"/>
              </w:rPr>
              <w:t>Sans action admissible, le retour peut être inatteignable.</w:t>
            </w:r>
          </w:p>
        </w:tc>
      </w:tr>
      <w:tr>
        <w:tc>
          <w:tcPr>
            <w:tcW w:type="dxa" w:w="1642"/>
            <w:vAlign w:val="top"/>
          </w:tcPr>
          <w:p>
            <w:r>
              <w:rPr>
                <w:sz w:val="13"/>
              </w:rPr>
              <w:t>Plastique / planète</w:t>
            </w:r>
          </w:p>
        </w:tc>
        <w:tc>
          <w:tcPr>
            <w:tcW w:type="dxa" w:w="2707"/>
            <w:vAlign w:val="top"/>
          </w:tcPr>
          <w:p>
            <w:r>
              <w:rPr>
                <w:sz w:val="13"/>
              </w:rPr>
              <w:t>Tire-bouchon devenu déchet terrestre.</w:t>
            </w:r>
          </w:p>
        </w:tc>
        <w:tc>
          <w:tcPr>
            <w:tcW w:type="dxa" w:w="2909"/>
            <w:vAlign w:val="top"/>
          </w:tcPr>
          <w:p>
            <w:r>
              <w:rPr>
                <w:sz w:val="13"/>
              </w:rPr>
              <w:t>Collecte, réemploi, recyclage ou dispersion suivent des durées et effets distincts.</w:t>
            </w:r>
          </w:p>
        </w:tc>
        <w:tc>
          <w:tcPr>
            <w:tcW w:type="dxa" w:w="2779"/>
            <w:vAlign w:val="top"/>
          </w:tcPr>
          <w:p>
            <w:r>
              <w:rPr>
                <w:sz w:val="13"/>
              </w:rPr>
              <w:t>Le temps terminal appartient au cadre planétaire et reste NON_MESURÉ sans trajectoire fixée.</w:t>
            </w:r>
          </w:p>
        </w:tc>
      </w:tr>
    </w:tbl>
    <w:p>
      <w:pPr>
        <w:spacing w:before="100" w:after="50"/>
      </w:pPr>
      <w:r>
        <w:rPr>
          <w:b/>
          <w:color w:val="2F7DBE"/>
          <w:sz w:val="23"/>
        </w:rPr>
        <w:t>53.2 Borne obtenue</w:t>
      </w:r>
    </w:p>
    <w:p>
      <w:pPr>
        <w:pStyle w:val="ListBullet"/>
        <w:spacing w:after="10"/>
      </w:pPr>
      <w:r>
        <w:rPr>
          <w:sz w:val="16"/>
        </w:rPr>
        <w:t>Le profil historique décrit la perte depuis l’état antérieur ; le temps de compensation décrit la dynamique vers une cible choisie dans la meilleure frontière encore atteignable.</w:t>
      </w:r>
    </w:p>
    <w:p>
      <w:pPr>
        <w:pStyle w:val="ListBullet"/>
        <w:spacing w:after="10"/>
      </w:pPr>
      <w:r>
        <w:rPr>
          <w:sz w:val="16"/>
        </w:rPr>
        <w:t>Un même profil peut avoir plusieurs temps selon les ressources, les actions et les contraintes. Un même temps peut masquer des écarts de nature ou d’ampleur différentes.</w:t>
      </w:r>
    </w:p>
    <w:p>
      <w:pPr>
        <w:pStyle w:val="ListBullet"/>
        <w:spacing w:after="10"/>
      </w:pPr>
      <w:r>
        <w:rPr>
          <w:sz w:val="16"/>
        </w:rPr>
        <w:t>Le temps pertinent n’est pas la durée d’une action ponctuelle, mais le premier instant après lequel l’état reste dans le domaine cible atteignable sans compensation supplémentaire non comptée.</w:t>
      </w:r>
    </w:p>
    <w:p>
      <w:pPr>
        <w:pStyle w:val="ListBullet"/>
        <w:spacing w:after="10"/>
      </w:pPr>
      <w:r>
        <w:rPr>
          <w:sz w:val="16"/>
        </w:rPr>
        <w:t>Si la référence historique est devenue inatteignable, elle reste la mesure de la perte mais cesse d’être la cible. Le temps se recalcule vers la meilleure frontière admissible ; aucune infinité n’est décrétée.</w:t>
      </w:r>
    </w:p>
    <w:p>
      <w:pPr>
        <w:spacing w:before="100" w:after="50"/>
      </w:pPr>
      <w:r>
        <w:rPr>
          <w:b/>
          <w:color w:val="2F7DBE"/>
          <w:sz w:val="23"/>
        </w:rPr>
        <w:t>53.3 Projection temporelle conditionnelle</w:t>
      </w:r>
    </w:p>
    <w:p>
      <w:pPr>
        <w:spacing w:after="20"/>
        <w:jc w:val="center"/>
      </w:pPr>
      <w:r>
        <w:rPr>
          <w:b/>
          <w:color w:val="1F4E79"/>
          <w:sz w:val="21"/>
        </w:rPr>
        <w:t>Δτᴄ = max(0, τ*ᴄ − τʳᵉᶠᴄ)</w:t>
      </w:r>
    </w:p>
    <w:p>
      <w:pPr>
        <w:pStyle w:val="ListBullet"/>
        <w:spacing w:after="10"/>
      </w:pPr>
      <w:r>
        <w:rPr>
          <w:sz w:val="16"/>
        </w:rPr>
        <w:t>τ*ᴄ : temps minimal pour atteindre durablement une cible choisie dans F†ᴄ, sous actions, ressources et invariants préfixés ; τʳᵉᶠᴄ : temps comparable de référence.</w:t>
      </w:r>
    </w:p>
    <w:p>
      <w:pPr>
        <w:pStyle w:val="ListBullet"/>
        <w:spacing w:after="10"/>
      </w:pPr>
      <w:r>
        <w:rPr>
          <w:sz w:val="16"/>
        </w:rPr>
        <w:t>Δτᴄ appartient au cadre C mesuré. Il n’est comparable entre cadres que si unités, références, moyens et critères de retour sont équivalents.</w:t>
      </w:r>
    </w:p>
    <w:p>
      <w:pPr>
        <w:pStyle w:val="ListBullet"/>
        <w:spacing w:after="10"/>
      </w:pPr>
      <w:r>
        <w:rPr>
          <w:sz w:val="16"/>
        </w:rPr>
        <w:t>La dette complète reste multicritère : profil d’écart, futurs perdus, compensation requise, temps et effets induits dans les cadres supérieurs.</w:t>
      </w:r>
    </w:p>
    <w:p>
      <w:pPr>
        <w:spacing w:before="100" w:after="50"/>
      </w:pPr>
      <w:r>
        <w:rPr>
          <w:b/>
          <w:color w:val="2F7DBE"/>
          <w:sz w:val="23"/>
        </w:rPr>
        <w:t>53.4 Calcul multicadre obligatoire</w:t>
      </w:r>
    </w:p>
    <w:p>
      <w:pPr>
        <w:pStyle w:val="ListBullet"/>
        <w:spacing w:after="10"/>
      </w:pPr>
      <w:r>
        <w:rPr>
          <w:sz w:val="16"/>
        </w:rPr>
        <w:t>Six objets : PASS qualitatif — le temps de retour varie avec le cadre et ses moyens, même à écart local comparable.</w:t>
      </w:r>
    </w:p>
    <w:p>
      <w:pPr>
        <w:pStyle w:val="ListBullet"/>
        <w:spacing w:after="10"/>
      </w:pPr>
      <w:r>
        <w:rPr>
          <w:sz w:val="16"/>
        </w:rPr>
        <w:t>Proposition « le temps intervient dans le calcul de la dette » : PASS. Proposition « le temps suffit à définir la dette » : FAIL par contre-exemples.</w:t>
      </w:r>
    </w:p>
    <w:p>
      <w:pPr>
        <w:pStyle w:val="ListBullet"/>
        <w:spacing w:after="10"/>
      </w:pPr>
      <w:r>
        <w:rPr>
          <w:sz w:val="16"/>
        </w:rPr>
        <w:t>Valeurs de τ*ᴄ, Δτᴄ et coûts : NON_MESURÉES sans protocoles, ressources, invariants et références instrumentés.</w:t>
      </w:r>
    </w:p>
    <w:p>
      <w:pPr>
        <w:pStyle w:val="ListBullet"/>
        <w:spacing w:after="10"/>
      </w:pPr>
      <w:r>
        <w:rPr>
          <w:sz w:val="16"/>
        </w:rPr>
        <w:t>Cadre planétaire : dernier réceptacle terrestre obligatoire ; trajectoire et temps terminal réels = NON_MESURÉS.</w:t>
      </w:r>
    </w:p>
    <w:p>
      <w:pPr>
        <w:pStyle w:val="ListBullet"/>
        <w:spacing w:after="10"/>
      </w:pPr>
      <w:r>
        <w:rPr>
          <w:sz w:val="16"/>
        </w:rPr>
        <w:t>Correspondance exacte avec le corpus canonique : NON_VÉRIFIÉE dans ce passage.</w:t>
      </w:r>
    </w:p>
    <w:p>
      <w:pPr>
        <w:spacing w:after="20"/>
        <w:jc w:val="center"/>
      </w:pPr>
      <w:r>
        <w:rPr>
          <w:b/>
          <w:color w:val="1F4E79"/>
          <w:sz w:val="19"/>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7"/>
              </w:rPr>
              <w:t>VERROU — Δτ appartient au cadre qui définit et réalise la trajectoire vers F†. C’est un proxy de dette résorbable, jamais la perte entière. Conserver E⁰ pour l’irréversible ; aucune durée comparable sans cible, moyens, invariants et critère durable préfixés.</w:t>
            </w:r>
          </w:p>
        </w:tc>
      </w:tr>
    </w:tbl>
    <w:p>
      <w:pPr>
        <w:pageBreakBefore/>
        <w:spacing w:before="100" w:after="50"/>
      </w:pPr>
      <w:r>
        <w:rPr>
          <w:b/>
          <w:color w:val="2F7DBE"/>
          <w:sz w:val="27"/>
        </w:rPr>
        <w:t>SECTION 54 — Chaîne complète pour l’audit, cadre causal minimal pour prédire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7"/>
              </w:rPr>
              <w:t>RÉSULTAT — Remonter la chaîne causale jusqu’à la planète est nécessaire pour auditer les dettes terrestres exportées. Mais prédire un objet exige le plus petit ensemble de cadres qui conserve toutes les différences causales pertinentes. Ajouter un cadre non discriminant n’affine rien.</w:t>
            </w:r>
          </w:p>
        </w:tc>
      </w:tr>
    </w:tbl>
    <w:p>
      <w:pPr>
        <w:spacing w:before="100" w:after="50"/>
      </w:pPr>
      <w:r>
        <w:rPr>
          <w:b/>
          <w:color w:val="2F7DBE"/>
          <w:sz w:val="23"/>
        </w:rPr>
        <w:t>54.1 Passage sur six objets simples</w:t>
      </w:r>
    </w:p>
    <w:tbl>
      <w:tblPr>
        <w:tblStyle w:val="TableGrid"/>
        <w:tblW w:type="auto" w:w="0"/>
        <w:tblLook w:firstColumn="1" w:firstRow="1" w:lastColumn="0" w:lastRow="0" w:noHBand="0" w:noVBand="1" w:val="04A0"/>
      </w:tblPr>
      <w:tblGrid>
        <w:gridCol w:w="2592"/>
        <w:gridCol w:w="2592"/>
        <w:gridCol w:w="2592"/>
        <w:gridCol w:w="2592"/>
      </w:tblGrid>
      <w:tr>
        <w:tc>
          <w:tcPr>
            <w:tcW w:type="dxa" w:w="1613"/>
            <w:shd w:fill="D9EAF7"/>
          </w:tcPr>
          <w:p>
            <w:r>
              <w:rPr>
                <w:b/>
                <w:color w:val="1F4E79"/>
                <w:sz w:val="14"/>
              </w:rPr>
              <w:t>Objet</w:t>
            </w:r>
          </w:p>
        </w:tc>
        <w:tc>
          <w:tcPr>
            <w:tcW w:type="dxa" w:w="2736"/>
            <w:shd w:fill="D9EAF7"/>
          </w:tcPr>
          <w:p>
            <w:r>
              <w:rPr>
                <w:b/>
                <w:color w:val="1F4E79"/>
                <w:sz w:val="14"/>
              </w:rPr>
              <w:t>Cadres utiles à la prédiction</w:t>
            </w:r>
          </w:p>
        </w:tc>
        <w:tc>
          <w:tcPr>
            <w:tcW w:type="dxa" w:w="2995"/>
            <w:shd w:fill="D9EAF7"/>
          </w:tcPr>
          <w:p>
            <w:r>
              <w:rPr>
                <w:b/>
                <w:color w:val="1F4E79"/>
                <w:sz w:val="14"/>
              </w:rPr>
              <w:t>Cadres utiles à l’audit</w:t>
            </w:r>
          </w:p>
        </w:tc>
        <w:tc>
          <w:tcPr>
            <w:tcW w:type="dxa" w:w="2693"/>
            <w:shd w:fill="D9EAF7"/>
          </w:tcPr>
          <w:p>
            <w:r>
              <w:rPr>
                <w:b/>
                <w:color w:val="1F4E79"/>
                <w:sz w:val="14"/>
              </w:rPr>
              <w:t>Borne simple</w:t>
            </w:r>
          </w:p>
        </w:tc>
      </w:tr>
      <w:tr>
        <w:tc>
          <w:tcPr>
            <w:tcW w:type="dxa" w:w="1613"/>
            <w:vAlign w:val="top"/>
          </w:tcPr>
          <w:p>
            <w:r>
              <w:rPr>
                <w:sz w:val="12"/>
              </w:rPr>
              <w:t>Bille</w:t>
            </w:r>
          </w:p>
        </w:tc>
        <w:tc>
          <w:tcPr>
            <w:tcW w:type="dxa" w:w="2736"/>
            <w:vAlign w:val="top"/>
          </w:tcPr>
          <w:p>
            <w:r>
              <w:rPr>
                <w:sz w:val="12"/>
              </w:rPr>
              <w:t>Bille, pente, butées et plateau pour prévoir le mouvement.</w:t>
            </w:r>
          </w:p>
        </w:tc>
        <w:tc>
          <w:tcPr>
            <w:tcW w:type="dxa" w:w="2995"/>
            <w:vAlign w:val="top"/>
          </w:tcPr>
          <w:p>
            <w:r>
              <w:rPr>
                <w:sz w:val="12"/>
              </w:rPr>
              <w:t>Sol, pièce puis chaîne matérielle si chute ou perte.</w:t>
            </w:r>
          </w:p>
        </w:tc>
        <w:tc>
          <w:tcPr>
            <w:tcW w:type="dxa" w:w="2693"/>
            <w:vAlign w:val="top"/>
          </w:tcPr>
          <w:p>
            <w:r>
              <w:rPr>
                <w:sz w:val="12"/>
              </w:rPr>
              <w:t>L’univers n’améliore pas le trajet si aucune variable nouvelle n’est mesurée.</w:t>
            </w:r>
          </w:p>
        </w:tc>
      </w:tr>
      <w:tr>
        <w:tc>
          <w:tcPr>
            <w:tcW w:type="dxa" w:w="1613"/>
            <w:vAlign w:val="top"/>
          </w:tcPr>
          <w:p>
            <w:r>
              <w:rPr>
                <w:sz w:val="12"/>
              </w:rPr>
              <w:t>Feuille</w:t>
            </w:r>
          </w:p>
        </w:tc>
        <w:tc>
          <w:tcPr>
            <w:tcW w:type="dxa" w:w="2736"/>
            <w:vAlign w:val="top"/>
          </w:tcPr>
          <w:p>
            <w:r>
              <w:rPr>
                <w:sz w:val="12"/>
              </w:rPr>
              <w:t>Forme, appui, air et humidité pour prévoir glissement ou déchirure.</w:t>
            </w:r>
          </w:p>
        </w:tc>
        <w:tc>
          <w:tcPr>
            <w:tcW w:type="dxa" w:w="2995"/>
            <w:vAlign w:val="top"/>
          </w:tcPr>
          <w:p>
            <w:r>
              <w:rPr>
                <w:sz w:val="12"/>
              </w:rPr>
              <w:t>Collecte, traitement et planète si elle devient déchet.</w:t>
            </w:r>
          </w:p>
        </w:tc>
        <w:tc>
          <w:tcPr>
            <w:tcW w:type="dxa" w:w="2693"/>
            <w:vAlign w:val="top"/>
          </w:tcPr>
          <w:p>
            <w:r>
              <w:rPr>
                <w:sz w:val="12"/>
              </w:rPr>
              <w:t>Le cadre planétaire clôt l’audit, pas le calcul millimétrique du glissement.</w:t>
            </w:r>
          </w:p>
        </w:tc>
      </w:tr>
      <w:tr>
        <w:tc>
          <w:tcPr>
            <w:tcW w:type="dxa" w:w="1613"/>
            <w:vAlign w:val="top"/>
          </w:tcPr>
          <w:p>
            <w:r>
              <w:rPr>
                <w:sz w:val="12"/>
              </w:rPr>
              <w:t>Élastique</w:t>
            </w:r>
          </w:p>
        </w:tc>
        <w:tc>
          <w:tcPr>
            <w:tcW w:type="dxa" w:w="2736"/>
            <w:vAlign w:val="top"/>
          </w:tcPr>
          <w:p>
            <w:r>
              <w:rPr>
                <w:sz w:val="12"/>
              </w:rPr>
              <w:t>Élastique, points d’ancrage, charge et température.</w:t>
            </w:r>
          </w:p>
        </w:tc>
        <w:tc>
          <w:tcPr>
            <w:tcW w:type="dxa" w:w="2995"/>
            <w:vAlign w:val="top"/>
          </w:tcPr>
          <w:p>
            <w:r>
              <w:rPr>
                <w:sz w:val="12"/>
              </w:rPr>
              <w:t>Montage, usage, fin de vie puis planète.</w:t>
            </w:r>
          </w:p>
        </w:tc>
        <w:tc>
          <w:tcPr>
            <w:tcW w:type="dxa" w:w="2693"/>
            <w:vAlign w:val="top"/>
          </w:tcPr>
          <w:p>
            <w:r>
              <w:rPr>
                <w:sz w:val="12"/>
              </w:rPr>
              <w:t>Un cadre supérieur affine seulement s’il modifie charge, température ou action.</w:t>
            </w:r>
          </w:p>
        </w:tc>
      </w:tr>
      <w:tr>
        <w:tc>
          <w:tcPr>
            <w:tcW w:type="dxa" w:w="1613"/>
            <w:vAlign w:val="top"/>
          </w:tcPr>
          <w:p>
            <w:r>
              <w:rPr>
                <w:sz w:val="12"/>
              </w:rPr>
              <w:t>Lego</w:t>
            </w:r>
          </w:p>
        </w:tc>
        <w:tc>
          <w:tcPr>
            <w:tcW w:type="dxa" w:w="2736"/>
            <w:vAlign w:val="top"/>
          </w:tcPr>
          <w:p>
            <w:r>
              <w:rPr>
                <w:sz w:val="12"/>
              </w:rPr>
              <w:t>Briques, voisins, liaisons, géométrie et charges du château.</w:t>
            </w:r>
          </w:p>
        </w:tc>
        <w:tc>
          <w:tcPr>
            <w:tcW w:type="dxa" w:w="2995"/>
            <w:vAlign w:val="top"/>
          </w:tcPr>
          <w:p>
            <w:r>
              <w:rPr>
                <w:sz w:val="12"/>
              </w:rPr>
              <w:t>Pièce, usage, déchets et planète selon la trajectoire.</w:t>
            </w:r>
          </w:p>
        </w:tc>
        <w:tc>
          <w:tcPr>
            <w:tcW w:type="dxa" w:w="2693"/>
            <w:vAlign w:val="top"/>
          </w:tcPr>
          <w:p>
            <w:r>
              <w:rPr>
                <w:sz w:val="12"/>
              </w:rPr>
              <w:t>La planète importe à l’impact terminal, peu à la casse immédiate sans lien mesuré.</w:t>
            </w:r>
          </w:p>
        </w:tc>
      </w:tr>
      <w:tr>
        <w:tc>
          <w:tcPr>
            <w:tcW w:type="dxa" w:w="1613"/>
            <w:vAlign w:val="top"/>
          </w:tcPr>
          <w:p>
            <w:r>
              <w:rPr>
                <w:sz w:val="12"/>
              </w:rPr>
              <w:t>Roulement</w:t>
            </w:r>
          </w:p>
        </w:tc>
        <w:tc>
          <w:tcPr>
            <w:tcW w:type="dxa" w:w="2736"/>
            <w:vAlign w:val="top"/>
          </w:tcPr>
          <w:p>
            <w:r>
              <w:rPr>
                <w:sz w:val="12"/>
              </w:rPr>
              <w:t>Billes, cage, lubrifiant, arbre, charge et régime machine.</w:t>
            </w:r>
          </w:p>
        </w:tc>
        <w:tc>
          <w:tcPr>
            <w:tcW w:type="dxa" w:w="2995"/>
            <w:vAlign w:val="top"/>
          </w:tcPr>
          <w:p>
            <w:r>
              <w:rPr>
                <w:sz w:val="12"/>
              </w:rPr>
              <w:t>Machine, atelier, énergie, matières et planète.</w:t>
            </w:r>
          </w:p>
        </w:tc>
        <w:tc>
          <w:tcPr>
            <w:tcW w:type="dxa" w:w="2693"/>
            <w:vAlign w:val="top"/>
          </w:tcPr>
          <w:p>
            <w:r>
              <w:rPr>
                <w:sz w:val="12"/>
              </w:rPr>
              <w:t>Les cadres industriels peuvent affiner ; leur simple nombre ne le garantit pas.</w:t>
            </w:r>
          </w:p>
        </w:tc>
      </w:tr>
      <w:tr>
        <w:tc>
          <w:tcPr>
            <w:tcW w:type="dxa" w:w="1613"/>
            <w:vAlign w:val="top"/>
          </w:tcPr>
          <w:p>
            <w:r>
              <w:rPr>
                <w:sz w:val="12"/>
              </w:rPr>
              <w:t>Tire-bouchon</w:t>
            </w:r>
          </w:p>
        </w:tc>
        <w:tc>
          <w:tcPr>
            <w:tcW w:type="dxa" w:w="2736"/>
            <w:vAlign w:val="top"/>
          </w:tcPr>
          <w:p>
            <w:r>
              <w:rPr>
                <w:sz w:val="12"/>
              </w:rPr>
              <w:t>Objet, bouteille et geste pour sa fonction locale.</w:t>
            </w:r>
          </w:p>
        </w:tc>
        <w:tc>
          <w:tcPr>
            <w:tcW w:type="dxa" w:w="2995"/>
            <w:vAlign w:val="top"/>
          </w:tcPr>
          <w:p>
            <w:r>
              <w:rPr>
                <w:sz w:val="12"/>
              </w:rPr>
              <w:t>Foyer, collecte, filière, milieux et planète pour sa dette terminale.</w:t>
            </w:r>
          </w:p>
        </w:tc>
        <w:tc>
          <w:tcPr>
            <w:tcW w:type="dxa" w:w="2693"/>
            <w:vAlign w:val="top"/>
          </w:tcPr>
          <w:p>
            <w:r>
              <w:rPr>
                <w:sz w:val="12"/>
              </w:rPr>
              <w:t>Des cadres différents répondent à des questions différentes ; ne pas les confondre.</w:t>
            </w:r>
          </w:p>
        </w:tc>
      </w:tr>
    </w:tbl>
    <w:p>
      <w:pPr>
        <w:spacing w:before="100" w:after="50"/>
      </w:pPr>
      <w:r>
        <w:rPr>
          <w:b/>
          <w:color w:val="2F7DBE"/>
          <w:sz w:val="23"/>
        </w:rPr>
        <w:t>54.2 Deux parcours complémentaires</w:t>
      </w:r>
    </w:p>
    <w:p>
      <w:pPr>
        <w:pStyle w:val="ListBullet"/>
        <w:spacing w:after="10"/>
      </w:pPr>
      <w:r>
        <w:rPr>
          <w:sz w:val="16"/>
        </w:rPr>
        <w:t>Parcours prédictif : partir de l’objet, ajouter les voisins et cadres seulement tant qu’ils changent un futur admissible, un invariant, un proxy ou le verdict à la résolution visée.</w:t>
      </w:r>
    </w:p>
    <w:p>
      <w:pPr>
        <w:pStyle w:val="ListBullet"/>
        <w:spacing w:after="10"/>
      </w:pPr>
      <w:r>
        <w:rPr>
          <w:sz w:val="16"/>
        </w:rPr>
        <w:t>Parcours d’audit : poursuivre toute conséquence causalement traçable jusqu’au dernier cadre terrestre affecté, la planète, afin de ne pas masquer une dette exportée.</w:t>
      </w:r>
    </w:p>
    <w:p>
      <w:pPr>
        <w:pStyle w:val="ListBullet"/>
        <w:spacing w:after="10"/>
      </w:pPr>
      <w:r>
        <w:rPr>
          <w:sz w:val="16"/>
        </w:rPr>
        <w:t>Le premier recherche la suffisance minimale ; le second recherche l’absence d’omission. Ils ne doivent pas être remplacés par une moyenne globale.</w:t>
      </w:r>
    </w:p>
    <w:p>
      <w:pPr>
        <w:pStyle w:val="ListBullet"/>
        <w:spacing w:after="10"/>
      </w:pPr>
      <w:r>
        <w:rPr>
          <w:sz w:val="16"/>
        </w:rPr>
        <w:t>L’univers peut rester une borne ontologique ; sans variable discriminante mesurable, sa contribution opérationnelle reste NON_MESURÉE et ne donne aucune décimale légitime.</w:t>
      </w:r>
    </w:p>
    <w:p>
      <w:pPr>
        <w:spacing w:before="100" w:after="50"/>
      </w:pPr>
      <w:r>
        <w:rPr>
          <w:b/>
          <w:color w:val="2F7DBE"/>
          <w:sz w:val="23"/>
        </w:rPr>
        <w:t>54.3 La finesse n’est ni le nombre de cadres ni le nombre de décimales</w:t>
      </w:r>
    </w:p>
    <w:p>
      <w:pPr>
        <w:pStyle w:val="ListBullet"/>
        <w:spacing w:after="10"/>
      </w:pPr>
      <w:r>
        <w:rPr>
          <w:sz w:val="16"/>
        </w:rPr>
        <w:t>La finesse utile augmente avec des proxys causaux valides, une meilleure résolution instrumentale et une incertitude plus faible.</w:t>
      </w:r>
    </w:p>
    <w:p>
      <w:pPr>
        <w:pStyle w:val="ListBullet"/>
        <w:spacing w:after="10"/>
      </w:pPr>
      <w:r>
        <w:rPr>
          <w:sz w:val="16"/>
        </w:rPr>
        <w:t>Ajouter un proxy corrélé, redondant ou mal calibré peut compter deux fois le même effet et augmenter σ au lieu d’améliorer S.</w:t>
      </w:r>
    </w:p>
    <w:p>
      <w:pPr>
        <w:pStyle w:val="ListBullet"/>
        <w:spacing w:after="10"/>
      </w:pPr>
      <w:r>
        <w:rPr>
          <w:sz w:val="16"/>
        </w:rPr>
        <w:t>Ajouter des zéros après la virgule augmente l’affichage de précision ; cela n’augmente pas l’exactitude si l’erreur de mesure, le modèle ou le cadre restent inchangés.</w:t>
      </w:r>
    </w:p>
    <w:p>
      <w:pPr>
        <w:pStyle w:val="ListBullet"/>
        <w:spacing w:after="10"/>
      </w:pPr>
      <w:r>
        <w:rPr>
          <w:sz w:val="16"/>
        </w:rPr>
        <w:t>Cadre causal suffisant minimal : aucun cadre omis ne change le verdict dans l’horizon, les perturbations et la résolution préfixés. Cette suffisance doit être contre-testée.</w:t>
      </w:r>
    </w:p>
    <w:p>
      <w:pPr>
        <w:spacing w:before="100" w:after="50"/>
      </w:pPr>
      <w:r>
        <w:rPr>
          <w:b/>
          <w:color w:val="2F7DBE"/>
          <w:sz w:val="23"/>
        </w:rPr>
        <w:t>54.4 Calcul multicadre obligatoire</w:t>
      </w:r>
    </w:p>
    <w:p>
      <w:pPr>
        <w:pStyle w:val="ListBullet"/>
        <w:spacing w:after="10"/>
      </w:pPr>
      <w:r>
        <w:rPr>
          <w:sz w:val="16"/>
        </w:rPr>
        <w:t>Six objets : PASS qualitatif pour la séparation entre noyau prédictif et chaîne d’audit.</w:t>
      </w:r>
    </w:p>
    <w:p>
      <w:pPr>
        <w:pStyle w:val="ListBullet"/>
        <w:spacing w:after="10"/>
      </w:pPr>
      <w:r>
        <w:rPr>
          <w:sz w:val="16"/>
        </w:rPr>
        <w:t>« Plus de cadres améliore toujours la prédiction » : FAIL. « Plus de cadres causaux mesurés peut l’affiner » : PASS conditionnel.</w:t>
      </w:r>
    </w:p>
    <w:p>
      <w:pPr>
        <w:pStyle w:val="ListBullet"/>
        <w:spacing w:after="10"/>
      </w:pPr>
      <w:r>
        <w:rPr>
          <w:sz w:val="16"/>
        </w:rPr>
        <w:t>« La planète est le dernier cadre terrestre d’audit » : PASS pour les conséquences terrestres causalement persistantes ; amplitude terminale = NON_MESURÉE.</w:t>
      </w:r>
    </w:p>
    <w:p>
      <w:pPr>
        <w:pStyle w:val="ListBullet"/>
        <w:spacing w:after="10"/>
      </w:pPr>
      <w:r>
        <w:rPr>
          <w:sz w:val="16"/>
        </w:rPr>
        <w:t>Gain réel de chaque cadre, incertitude et résolution : NON_MESURÉS tant qu’aucune ablation comparative n’est réalisée.</w:t>
      </w:r>
    </w:p>
    <w:p>
      <w:pPr>
        <w:pStyle w:val="ListBullet"/>
        <w:spacing w:after="10"/>
      </w:pPr>
      <w:r>
        <w:rPr>
          <w:sz w:val="16"/>
        </w:rPr>
        <w:t>Correspondance exacte avec le corpus canonique : NON_VÉRIFIÉE dans ce passage.</w:t>
      </w:r>
    </w:p>
    <w:p>
      <w:pPr>
        <w:spacing w:after="20"/>
        <w:jc w:val="center"/>
      </w:pPr>
      <w:r>
        <w:rPr>
          <w:b/>
          <w:color w:val="1F4E79"/>
          <w:sz w:val="19"/>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7"/>
              </w:rPr>
              <w:t>VERROU — Toujours auditer jusqu’à la planète une conséquence terrestre persistante. Pour prédire, retenir le cadre causal suffisant minimal. Aucun cadre, proxy ou chiffre supplémentaire n’affine le résultat sans gain discriminant démontré et sans incertitude mesurée.</w:t>
            </w:r>
          </w:p>
        </w:tc>
      </w:tr>
    </w:tbl>
    <w:p>
      <w:pPr>
        <w:pageBreakBefore/>
        <w:spacing w:before="100" w:after="50"/>
      </w:pPr>
      <w:r>
        <w:rPr>
          <w:b/>
          <w:color w:val="2F7DBE"/>
          <w:sz w:val="27"/>
        </w:rPr>
        <w:t>SECTION 55 — Protocole opérationnel minimal — choisir sans déplacer la dette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7"/>
              </w:rPr>
              <w:t>RÉSULTAT — La méthode la plus cohérente obtenue dans cette session sépare trois tâches : borner l’admissible, prévoir avec le noyau causal minimal, puis auditer toute dette induite jusqu’à la planète. Le choix final minimise les dettes sans sacrifier un cadre critique.</w:t>
            </w:r>
          </w:p>
        </w:tc>
      </w:tr>
    </w:tbl>
    <w:p>
      <w:pPr>
        <w:spacing w:before="100" w:after="50"/>
      </w:pPr>
      <w:r>
        <w:rPr>
          <w:b/>
          <w:color w:val="2F7DBE"/>
          <w:sz w:val="23"/>
        </w:rPr>
        <w:t>55.1 Séquence obligatoire</w:t>
      </w:r>
    </w:p>
    <w:tbl>
      <w:tblPr>
        <w:tblStyle w:val="TableGrid"/>
        <w:tblW w:type="auto" w:w="0"/>
        <w:tblLook w:firstColumn="1" w:firstRow="1" w:lastColumn="0" w:lastRow="0" w:noHBand="0" w:noVBand="1" w:val="04A0"/>
      </w:tblPr>
      <w:tblGrid>
        <w:gridCol w:w="2592"/>
        <w:gridCol w:w="2592"/>
        <w:gridCol w:w="2592"/>
        <w:gridCol w:w="2592"/>
      </w:tblGrid>
      <w:tr>
        <w:tc>
          <w:tcPr>
            <w:tcW w:type="dxa" w:w="749"/>
            <w:shd w:fill="D9EAF7"/>
          </w:tcPr>
          <w:p>
            <w:r>
              <w:rPr>
                <w:b/>
                <w:color w:val="1F4E79"/>
                <w:sz w:val="14"/>
              </w:rPr>
              <w:t>N°</w:t>
            </w:r>
          </w:p>
        </w:tc>
        <w:tc>
          <w:tcPr>
            <w:tcW w:type="dxa" w:w="2477"/>
            <w:shd w:fill="D9EAF7"/>
          </w:tcPr>
          <w:p>
            <w:r>
              <w:rPr>
                <w:b/>
                <w:color w:val="1F4E79"/>
                <w:sz w:val="14"/>
              </w:rPr>
              <w:t>Opération</w:t>
            </w:r>
          </w:p>
        </w:tc>
        <w:tc>
          <w:tcPr>
            <w:tcW w:type="dxa" w:w="4493"/>
            <w:shd w:fill="D9EAF7"/>
          </w:tcPr>
          <w:p>
            <w:r>
              <w:rPr>
                <w:b/>
                <w:color w:val="1F4E79"/>
                <w:sz w:val="14"/>
              </w:rPr>
              <w:t>Question minimale</w:t>
            </w:r>
          </w:p>
        </w:tc>
        <w:tc>
          <w:tcPr>
            <w:tcW w:type="dxa" w:w="2318"/>
            <w:shd w:fill="D9EAF7"/>
          </w:tcPr>
          <w:p>
            <w:r>
              <w:rPr>
                <w:b/>
                <w:color w:val="1F4E79"/>
                <w:sz w:val="14"/>
              </w:rPr>
              <w:t>Sortie obligatoire</w:t>
            </w:r>
          </w:p>
        </w:tc>
      </w:tr>
      <w:tr>
        <w:tc>
          <w:tcPr>
            <w:tcW w:type="dxa" w:w="749"/>
            <w:vAlign w:val="top"/>
          </w:tcPr>
          <w:p>
            <w:r>
              <w:rPr>
                <w:sz w:val="12"/>
              </w:rPr>
              <w:t>0</w:t>
            </w:r>
          </w:p>
        </w:tc>
        <w:tc>
          <w:tcPr>
            <w:tcW w:type="dxa" w:w="2477"/>
            <w:vAlign w:val="top"/>
          </w:tcPr>
          <w:p>
            <w:r>
              <w:rPr>
                <w:sz w:val="12"/>
              </w:rPr>
              <w:t>Figer la question</w:t>
            </w:r>
          </w:p>
        </w:tc>
        <w:tc>
          <w:tcPr>
            <w:tcW w:type="dxa" w:w="4493"/>
            <w:vAlign w:val="top"/>
          </w:tcPr>
          <w:p>
            <w:r>
              <w:rPr>
                <w:sz w:val="12"/>
              </w:rPr>
              <w:t>Quel objet, quelle fonction, quelle référence, quel horizon et quelles perturbations ?</w:t>
            </w:r>
          </w:p>
        </w:tc>
        <w:tc>
          <w:tcPr>
            <w:tcW w:type="dxa" w:w="2318"/>
            <w:vAlign w:val="top"/>
          </w:tcPr>
          <w:p>
            <w:r>
              <w:rPr>
                <w:sz w:val="12"/>
              </w:rPr>
              <w:t>Cadre d’essai explicite ou NON_MESURÉ.</w:t>
            </w:r>
          </w:p>
        </w:tc>
      </w:tr>
      <w:tr>
        <w:tc>
          <w:tcPr>
            <w:tcW w:type="dxa" w:w="749"/>
            <w:vAlign w:val="top"/>
          </w:tcPr>
          <w:p>
            <w:r>
              <w:rPr>
                <w:sz w:val="12"/>
              </w:rPr>
              <w:t>1</w:t>
            </w:r>
          </w:p>
        </w:tc>
        <w:tc>
          <w:tcPr>
            <w:tcW w:type="dxa" w:w="2477"/>
            <w:vAlign w:val="top"/>
          </w:tcPr>
          <w:p>
            <w:r>
              <w:rPr>
                <w:sz w:val="12"/>
              </w:rPr>
              <w:t>Filtre négatif</w:t>
            </w:r>
          </w:p>
        </w:tc>
        <w:tc>
          <w:tcPr>
            <w:tcW w:type="dxa" w:w="4493"/>
            <w:vAlign w:val="top"/>
          </w:tcPr>
          <w:p>
            <w:r>
              <w:rPr>
                <w:sz w:val="12"/>
              </w:rPr>
              <w:t>Quelles trajectoires violent déjà un invariant ou une impossibilité ?</w:t>
            </w:r>
          </w:p>
        </w:tc>
        <w:tc>
          <w:tcPr>
            <w:tcW w:type="dxa" w:w="2318"/>
            <w:vAlign w:val="top"/>
          </w:tcPr>
          <w:p>
            <w:r>
              <w:rPr>
                <w:sz w:val="12"/>
              </w:rPr>
              <w:t>Élimination des candidats inadmissibles.</w:t>
            </w:r>
          </w:p>
        </w:tc>
      </w:tr>
      <w:tr>
        <w:tc>
          <w:tcPr>
            <w:tcW w:type="dxa" w:w="749"/>
            <w:vAlign w:val="top"/>
          </w:tcPr>
          <w:p>
            <w:r>
              <w:rPr>
                <w:sz w:val="12"/>
              </w:rPr>
              <w:t>2</w:t>
            </w:r>
          </w:p>
        </w:tc>
        <w:tc>
          <w:tcPr>
            <w:tcW w:type="dxa" w:w="2477"/>
            <w:vAlign w:val="top"/>
          </w:tcPr>
          <w:p>
            <w:r>
              <w:rPr>
                <w:sz w:val="12"/>
              </w:rPr>
              <w:t>Test simple</w:t>
            </w:r>
          </w:p>
        </w:tc>
        <w:tc>
          <w:tcPr>
            <w:tcW w:type="dxa" w:w="4493"/>
            <w:vAlign w:val="top"/>
          </w:tcPr>
          <w:p>
            <w:r>
              <w:rPr>
                <w:sz w:val="12"/>
              </w:rPr>
              <w:t>La proposition tient-elle sur un objet évident, puis sur cinq objets très différents ?</w:t>
            </w:r>
          </w:p>
        </w:tc>
        <w:tc>
          <w:tcPr>
            <w:tcW w:type="dxa" w:w="2318"/>
            <w:vAlign w:val="top"/>
          </w:tcPr>
          <w:p>
            <w:r>
              <w:rPr>
                <w:sz w:val="12"/>
              </w:rPr>
              <w:t>PASS, FAIL ou borne révisée.</w:t>
            </w:r>
          </w:p>
        </w:tc>
      </w:tr>
      <w:tr>
        <w:tc>
          <w:tcPr>
            <w:tcW w:type="dxa" w:w="749"/>
            <w:vAlign w:val="top"/>
          </w:tcPr>
          <w:p>
            <w:r>
              <w:rPr>
                <w:sz w:val="12"/>
              </w:rPr>
              <w:t>3</w:t>
            </w:r>
          </w:p>
        </w:tc>
        <w:tc>
          <w:tcPr>
            <w:tcW w:type="dxa" w:w="2477"/>
            <w:vAlign w:val="top"/>
          </w:tcPr>
          <w:p>
            <w:r>
              <w:rPr>
                <w:sz w:val="12"/>
              </w:rPr>
              <w:t>Dettes propres</w:t>
            </w:r>
          </w:p>
        </w:tc>
        <w:tc>
          <w:tcPr>
            <w:tcW w:type="dxa" w:w="4493"/>
            <w:vAlign w:val="top"/>
          </w:tcPr>
          <w:p>
            <w:r>
              <w:rPr>
                <w:sz w:val="12"/>
              </w:rPr>
              <w:t>Quels objets affectés s’écartent de leurs propres références ?</w:t>
            </w:r>
          </w:p>
        </w:tc>
        <w:tc>
          <w:tcPr>
            <w:tcW w:type="dxa" w:w="2318"/>
            <w:vAlign w:val="top"/>
          </w:tcPr>
          <w:p>
            <w:r>
              <w:rPr>
                <w:sz w:val="12"/>
              </w:rPr>
              <w:t>Un profil par objet ; aucune copie ni somme automatique.</w:t>
            </w:r>
          </w:p>
        </w:tc>
      </w:tr>
      <w:tr>
        <w:tc>
          <w:tcPr>
            <w:tcW w:type="dxa" w:w="749"/>
            <w:vAlign w:val="top"/>
          </w:tcPr>
          <w:p>
            <w:r>
              <w:rPr>
                <w:sz w:val="12"/>
              </w:rPr>
              <w:t>4</w:t>
            </w:r>
          </w:p>
        </w:tc>
        <w:tc>
          <w:tcPr>
            <w:tcW w:type="dxa" w:w="2477"/>
            <w:vAlign w:val="top"/>
          </w:tcPr>
          <w:p>
            <w:r>
              <w:rPr>
                <w:sz w:val="12"/>
              </w:rPr>
              <w:t>Relations</w:t>
            </w:r>
          </w:p>
        </w:tc>
        <w:tc>
          <w:tcPr>
            <w:tcW w:type="dxa" w:w="4493"/>
            <w:vAlign w:val="top"/>
          </w:tcPr>
          <w:p>
            <w:r>
              <w:rPr>
                <w:sz w:val="12"/>
              </w:rPr>
              <w:t>Positions, voisins, topologie et charges transforment-ils la réponse de l’englobant ?</w:t>
            </w:r>
          </w:p>
        </w:tc>
        <w:tc>
          <w:tcPr>
            <w:tcW w:type="dxa" w:w="2318"/>
            <w:vAlign w:val="top"/>
          </w:tcPr>
          <w:p>
            <w:r>
              <w:rPr>
                <w:sz w:val="12"/>
              </w:rPr>
              <w:t>Dette relationnelle propre à chaque englobant.</w:t>
            </w:r>
          </w:p>
        </w:tc>
      </w:tr>
      <w:tr>
        <w:tc>
          <w:tcPr>
            <w:tcW w:type="dxa" w:w="749"/>
            <w:vAlign w:val="top"/>
          </w:tcPr>
          <w:p>
            <w:r>
              <w:rPr>
                <w:sz w:val="12"/>
              </w:rPr>
              <w:t>5</w:t>
            </w:r>
          </w:p>
        </w:tc>
        <w:tc>
          <w:tcPr>
            <w:tcW w:type="dxa" w:w="2477"/>
            <w:vAlign w:val="top"/>
          </w:tcPr>
          <w:p>
            <w:r>
              <w:rPr>
                <w:sz w:val="12"/>
              </w:rPr>
              <w:t>Futurs perdus</w:t>
            </w:r>
          </w:p>
        </w:tc>
        <w:tc>
          <w:tcPr>
            <w:tcW w:type="dxa" w:w="4493"/>
            <w:vAlign w:val="top"/>
          </w:tcPr>
          <w:p>
            <w:r>
              <w:rPr>
                <w:sz w:val="12"/>
              </w:rPr>
              <w:t>Quelles trajectoires auparavant admissibles ne le sont plus, même si la fonction présente tient ?</w:t>
            </w:r>
          </w:p>
        </w:tc>
        <w:tc>
          <w:tcPr>
            <w:tcW w:type="dxa" w:w="2318"/>
            <w:vAlign w:val="top"/>
          </w:tcPr>
          <w:p>
            <w:r>
              <w:rPr>
                <w:sz w:val="12"/>
              </w:rPr>
              <w:t>Profil de robustesse et de contraction future.</w:t>
            </w:r>
          </w:p>
        </w:tc>
      </w:tr>
      <w:tr>
        <w:tc>
          <w:tcPr>
            <w:tcW w:type="dxa" w:w="749"/>
            <w:vAlign w:val="top"/>
          </w:tcPr>
          <w:p>
            <w:r>
              <w:rPr>
                <w:sz w:val="12"/>
              </w:rPr>
              <w:t>6</w:t>
            </w:r>
          </w:p>
        </w:tc>
        <w:tc>
          <w:tcPr>
            <w:tcW w:type="dxa" w:w="2477"/>
            <w:vAlign w:val="top"/>
          </w:tcPr>
          <w:p>
            <w:r>
              <w:rPr>
                <w:sz w:val="12"/>
              </w:rPr>
              <w:t>Prédiction</w:t>
            </w:r>
          </w:p>
        </w:tc>
        <w:tc>
          <w:tcPr>
            <w:tcW w:type="dxa" w:w="4493"/>
            <w:vAlign w:val="top"/>
          </w:tcPr>
          <w:p>
            <w:r>
              <w:rPr>
                <w:sz w:val="12"/>
              </w:rPr>
              <w:t>Quel plus petit ensemble de cadres conserve toutes les différences causales utiles ?</w:t>
            </w:r>
          </w:p>
        </w:tc>
        <w:tc>
          <w:tcPr>
            <w:tcW w:type="dxa" w:w="2318"/>
            <w:vAlign w:val="top"/>
          </w:tcPr>
          <w:p>
            <w:r>
              <w:rPr>
                <w:sz w:val="12"/>
              </w:rPr>
              <w:t>Noyau causal suffisant minimal contre-testé.</w:t>
            </w:r>
          </w:p>
        </w:tc>
      </w:tr>
      <w:tr>
        <w:tc>
          <w:tcPr>
            <w:tcW w:type="dxa" w:w="749"/>
            <w:vAlign w:val="top"/>
          </w:tcPr>
          <w:p>
            <w:r>
              <w:rPr>
                <w:sz w:val="12"/>
              </w:rPr>
              <w:t>7</w:t>
            </w:r>
          </w:p>
        </w:tc>
        <w:tc>
          <w:tcPr>
            <w:tcW w:type="dxa" w:w="2477"/>
            <w:vAlign w:val="top"/>
          </w:tcPr>
          <w:p>
            <w:r>
              <w:rPr>
                <w:sz w:val="12"/>
              </w:rPr>
              <w:t>Audit supérieur</w:t>
            </w:r>
          </w:p>
        </w:tc>
        <w:tc>
          <w:tcPr>
            <w:tcW w:type="dxa" w:w="4493"/>
            <w:vAlign w:val="top"/>
          </w:tcPr>
          <w:p>
            <w:r>
              <w:rPr>
                <w:sz w:val="12"/>
              </w:rPr>
              <w:t>Où chaque conséquence persistante est-elle compensée ou transformée jusqu’à la planète ?</w:t>
            </w:r>
          </w:p>
        </w:tc>
        <w:tc>
          <w:tcPr>
            <w:tcW w:type="dxa" w:w="2318"/>
            <w:vAlign w:val="top"/>
          </w:tcPr>
          <w:p>
            <w:r>
              <w:rPr>
                <w:sz w:val="12"/>
              </w:rPr>
              <w:t>Chaîne de provenance sans double compte.</w:t>
            </w:r>
          </w:p>
        </w:tc>
      </w:tr>
      <w:tr>
        <w:tc>
          <w:tcPr>
            <w:tcW w:type="dxa" w:w="749"/>
            <w:vAlign w:val="top"/>
          </w:tcPr>
          <w:p>
            <w:r>
              <w:rPr>
                <w:sz w:val="12"/>
              </w:rPr>
              <w:t>8</w:t>
            </w:r>
          </w:p>
        </w:tc>
        <w:tc>
          <w:tcPr>
            <w:tcW w:type="dxa" w:w="2477"/>
            <w:vAlign w:val="top"/>
          </w:tcPr>
          <w:p>
            <w:r>
              <w:rPr>
                <w:sz w:val="12"/>
              </w:rPr>
              <w:t>Mesures</w:t>
            </w:r>
          </w:p>
        </w:tc>
        <w:tc>
          <w:tcPr>
            <w:tcW w:type="dxa" w:w="4493"/>
            <w:vAlign w:val="top"/>
          </w:tcPr>
          <w:p>
            <w:r>
              <w:rPr>
                <w:sz w:val="12"/>
              </w:rPr>
              <w:t>Proxys, unités, incertitudes, compensation et temps sont-ils calibrés ?</w:t>
            </w:r>
          </w:p>
        </w:tc>
        <w:tc>
          <w:tcPr>
            <w:tcW w:type="dxa" w:w="2318"/>
            <w:vAlign w:val="top"/>
          </w:tcPr>
          <w:p>
            <w:r>
              <w:rPr>
                <w:sz w:val="12"/>
              </w:rPr>
              <w:t>Valeurs ou NON_MESURÉ ; jamais zéro par défaut.</w:t>
            </w:r>
          </w:p>
        </w:tc>
      </w:tr>
      <w:tr>
        <w:tc>
          <w:tcPr>
            <w:tcW w:type="dxa" w:w="749"/>
            <w:vAlign w:val="top"/>
          </w:tcPr>
          <w:p>
            <w:r>
              <w:rPr>
                <w:sz w:val="12"/>
              </w:rPr>
              <w:t>9</w:t>
            </w:r>
          </w:p>
        </w:tc>
        <w:tc>
          <w:tcPr>
            <w:tcW w:type="dxa" w:w="2477"/>
            <w:vAlign w:val="top"/>
          </w:tcPr>
          <w:p>
            <w:r>
              <w:rPr>
                <w:sz w:val="12"/>
              </w:rPr>
              <w:t>Choix</w:t>
            </w:r>
          </w:p>
        </w:tc>
        <w:tc>
          <w:tcPr>
            <w:tcW w:type="dxa" w:w="4493"/>
            <w:vAlign w:val="top"/>
          </w:tcPr>
          <w:p>
            <w:r>
              <w:rPr>
                <w:sz w:val="12"/>
              </w:rPr>
              <w:t>Quel candidat admissible réduit les profils de dette sans aggraver un invariant d’un autre cadre ?</w:t>
            </w:r>
          </w:p>
        </w:tc>
        <w:tc>
          <w:tcPr>
            <w:tcW w:type="dxa" w:w="2318"/>
            <w:vAlign w:val="top"/>
          </w:tcPr>
          <w:p>
            <w:r>
              <w:rPr>
                <w:sz w:val="12"/>
              </w:rPr>
              <w:t>Ensemble non dominé ; veto avant arbitrage.</w:t>
            </w:r>
          </w:p>
        </w:tc>
      </w:tr>
    </w:tbl>
    <w:p>
      <w:pPr>
        <w:spacing w:before="100" w:after="50"/>
      </w:pPr>
      <w:r>
        <w:rPr>
          <w:b/>
          <w:color w:val="2F7DBE"/>
          <w:sz w:val="23"/>
        </w:rPr>
        <w:t>55.2 Règle de décision</w:t>
      </w:r>
    </w:p>
    <w:p>
      <w:pPr>
        <w:pStyle w:val="ListBullet"/>
        <w:spacing w:after="10"/>
      </w:pPr>
      <w:r>
        <w:rPr>
          <w:sz w:val="16"/>
        </w:rPr>
        <w:t>Un candidat est rejeté si un invariant critique est violé dans un cadre causalement affecté, même si sa moyenne globale est favorable.</w:t>
      </w:r>
    </w:p>
    <w:p>
      <w:pPr>
        <w:pStyle w:val="ListBullet"/>
        <w:spacing w:after="10"/>
      </w:pPr>
      <w:r>
        <w:rPr>
          <w:sz w:val="16"/>
        </w:rPr>
        <w:t>Parmi les candidats restants, A domine B seulement si A n’aggrave aucun proxy critique comparable et améliore au moins un profil de dette mesuré.</w:t>
      </w:r>
    </w:p>
    <w:p>
      <w:pPr>
        <w:pStyle w:val="ListBullet"/>
        <w:spacing w:after="10"/>
      </w:pPr>
      <w:r>
        <w:rPr>
          <w:sz w:val="16"/>
        </w:rPr>
        <w:t>Si les profils se croisent, conserver les candidats non dominés et demander le poids normatif manquant ; ne pas fabriquer un optimum numérique.</w:t>
      </w:r>
    </w:p>
    <w:p>
      <w:pPr>
        <w:pStyle w:val="ListBullet"/>
        <w:spacing w:after="10"/>
      </w:pPr>
      <w:r>
        <w:rPr>
          <w:sz w:val="16"/>
        </w:rPr>
        <w:t>Le minimum de dette est donc local + relationnel + supérieur, avec provenance conservée et sans addition entre unités ou cadres incompatibles.</w:t>
      </w:r>
    </w:p>
    <w:p>
      <w:pPr>
        <w:spacing w:before="100" w:after="50"/>
      </w:pPr>
      <w:r>
        <w:rPr>
          <w:b/>
          <w:color w:val="2F7DBE"/>
          <w:sz w:val="23"/>
        </w:rPr>
        <w:t>55.3 Sortie normalisée de toute affirmation</w:t>
      </w:r>
    </w:p>
    <w:p>
      <w:pPr>
        <w:pStyle w:val="ListBullet"/>
        <w:spacing w:after="10"/>
      </w:pPr>
      <w:r>
        <w:rPr>
          <w:sz w:val="16"/>
        </w:rPr>
        <w:t>Cadre local : PASS / FAIL / NON_MESURÉ, avec référence et proxy.</w:t>
      </w:r>
    </w:p>
    <w:p>
      <w:pPr>
        <w:pStyle w:val="ListBullet"/>
        <w:spacing w:after="10"/>
      </w:pPr>
      <w:r>
        <w:rPr>
          <w:sz w:val="16"/>
        </w:rPr>
        <w:t>Voisins et premier englobant : même verdict, plus transformation causale et topologie.</w:t>
      </w:r>
    </w:p>
    <w:p>
      <w:pPr>
        <w:pStyle w:val="ListBullet"/>
        <w:spacing w:after="10"/>
      </w:pPr>
      <w:r>
        <w:rPr>
          <w:sz w:val="16"/>
        </w:rPr>
        <w:t>Cadres supérieurs jusqu’à la planète : dettes propres induites, compensations, temps et incertitudes.</w:t>
      </w:r>
    </w:p>
    <w:p>
      <w:pPr>
        <w:pStyle w:val="ListBullet"/>
        <w:spacing w:after="10"/>
      </w:pPr>
      <w:r>
        <w:rPr>
          <w:sz w:val="16"/>
        </w:rPr>
        <w:t>S = (β × ΔΦ) / (1 + T + σ) uniquement avec proxys normalisés ; sinon S_global = NON_MESURÉ.</w:t>
      </w:r>
    </w:p>
    <w:p>
      <w:pPr>
        <w:spacing w:before="100" w:after="50"/>
      </w:pPr>
      <w:r>
        <w:rPr>
          <w:b/>
          <w:color w:val="2F7DBE"/>
          <w:sz w:val="23"/>
        </w:rPr>
        <w:t>55.4 Calcul multicadre de la méthode</w:t>
      </w:r>
    </w:p>
    <w:p>
      <w:pPr>
        <w:pStyle w:val="ListBullet"/>
        <w:spacing w:after="10"/>
      </w:pPr>
      <w:r>
        <w:rPr>
          <w:sz w:val="16"/>
        </w:rPr>
        <w:t>Six familles simples des sections 49 à 54 : PASS qualitatif pour les bornes composantes, topologie, temps et sélection des cadres.</w:t>
      </w:r>
    </w:p>
    <w:p>
      <w:pPr>
        <w:pStyle w:val="ListBullet"/>
        <w:spacing w:after="10"/>
      </w:pPr>
      <w:r>
        <w:rPr>
          <w:sz w:val="16"/>
        </w:rPr>
        <w:t>Réduction de complexité : PASS — chaque étape répond à une seule question et possède une condition d’arrêt.</w:t>
      </w:r>
    </w:p>
    <w:p>
      <w:pPr>
        <w:pStyle w:val="ListBullet"/>
        <w:spacing w:after="10"/>
      </w:pPr>
      <w:r>
        <w:rPr>
          <w:sz w:val="16"/>
        </w:rPr>
        <w:t>Universalité, exhaustivité des futurs et performances quantitatives : NON_MESURÉES sans expérimentation comparative.</w:t>
      </w:r>
    </w:p>
    <w:p>
      <w:pPr>
        <w:pStyle w:val="ListBullet"/>
        <w:spacing w:after="10"/>
      </w:pPr>
      <w:r>
        <w:rPr>
          <w:sz w:val="16"/>
        </w:rPr>
        <w:t>Correspondance exacte avec le corpus canonique et supériorité SOTA : NON_VÉRIFIÉES dans ce passage.</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7"/>
              </w:rPr>
              <w:t>VERROU — Impossible d’abord ; six objets simples ensuite ; calcul seulement après. Noyau causal minimal pour prédire, chaîne complète jusqu’à la planète pour auditer. Choisir un minimum non dominé sans moyenne globale, transfert d’identité, double compte ni fausse précision.</w:t>
            </w:r>
          </w:p>
        </w:tc>
      </w:tr>
    </w:tbl>
    <w:p>
      <w:pPr>
        <w:pageBreakBefore/>
        <w:spacing w:before="100" w:after="50"/>
      </w:pPr>
      <w:r>
        <w:rPr>
          <w:b/>
          <w:color w:val="2F7DBE"/>
          <w:sz w:val="26"/>
        </w:rPr>
        <w:t>SECTION 56 — Énergie de retour — projection thermodynamique conditionnelle de la dette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7"/>
              </w:rPr>
              <w:t>RÉSULTAT — L’exergie minimale nécessaire pour conduire durablement un objet vers la meilleure cible encore atteignable est une projection de sa dette résorbable, parallèle au temps. La référence antérieure reste séparément la mesure de la perte irréversible.</w:t>
            </w:r>
          </w:p>
        </w:tc>
      </w:tr>
    </w:tbl>
    <w:p>
      <w:pPr>
        <w:spacing w:before="100" w:after="50"/>
      </w:pPr>
      <w:r>
        <w:rPr>
          <w:b/>
          <w:color w:val="2F7DBE"/>
          <w:sz w:val="22"/>
        </w:rPr>
        <w:t>56.1 Passage sur six objets simples</w:t>
      </w:r>
    </w:p>
    <w:tbl>
      <w:tblPr>
        <w:tblStyle w:val="TableGrid"/>
        <w:tblW w:type="auto" w:w="0"/>
        <w:tblLook w:firstColumn="1" w:firstRow="1" w:lastColumn="0" w:lastRow="0" w:noHBand="0" w:noVBand="1" w:val="04A0"/>
      </w:tblPr>
      <w:tblGrid>
        <w:gridCol w:w="2592"/>
        <w:gridCol w:w="2592"/>
        <w:gridCol w:w="2592"/>
        <w:gridCol w:w="2592"/>
      </w:tblGrid>
      <w:tr>
        <w:tc>
          <w:tcPr>
            <w:tcW w:type="dxa" w:w="1613"/>
            <w:shd w:fill="D9EAF7"/>
          </w:tcPr>
          <w:p>
            <w:r>
              <w:rPr>
                <w:b/>
                <w:color w:val="1F4E79"/>
                <w:sz w:val="14"/>
              </w:rPr>
              <w:t>Objet / cadre</w:t>
            </w:r>
          </w:p>
        </w:tc>
        <w:tc>
          <w:tcPr>
            <w:tcW w:type="dxa" w:w="2794"/>
            <w:shd w:fill="D9EAF7"/>
          </w:tcPr>
          <w:p>
            <w:r>
              <w:rPr>
                <w:b/>
                <w:color w:val="1F4E79"/>
                <w:sz w:val="14"/>
              </w:rPr>
              <w:t>Retour de référence</w:t>
            </w:r>
          </w:p>
        </w:tc>
        <w:tc>
          <w:tcPr>
            <w:tcW w:type="dxa" w:w="3067"/>
            <w:shd w:fill="D9EAF7"/>
          </w:tcPr>
          <w:p>
            <w:r>
              <w:rPr>
                <w:b/>
                <w:color w:val="1F4E79"/>
                <w:sz w:val="14"/>
              </w:rPr>
              <w:t>Projection énergétique</w:t>
            </w:r>
          </w:p>
        </w:tc>
        <w:tc>
          <w:tcPr>
            <w:tcW w:type="dxa" w:w="2563"/>
            <w:shd w:fill="D9EAF7"/>
          </w:tcPr>
          <w:p>
            <w:r>
              <w:rPr>
                <w:b/>
                <w:color w:val="1F4E79"/>
                <w:sz w:val="14"/>
              </w:rPr>
              <w:t>Borne intuitive</w:t>
            </w:r>
          </w:p>
        </w:tc>
      </w:tr>
      <w:tr>
        <w:tc>
          <w:tcPr>
            <w:tcW w:type="dxa" w:w="1613"/>
            <w:vAlign w:val="top"/>
          </w:tcPr>
          <w:p>
            <w:r>
              <w:rPr>
                <w:sz w:val="12"/>
              </w:rPr>
              <w:t>Bille / plateau</w:t>
            </w:r>
          </w:p>
        </w:tc>
        <w:tc>
          <w:tcPr>
            <w:tcW w:type="dxa" w:w="2794"/>
            <w:vAlign w:val="top"/>
          </w:tcPr>
          <w:p>
            <w:r>
              <w:rPr>
                <w:sz w:val="12"/>
              </w:rPr>
              <w:t>Remonter une bille à sa hauteur initiale.</w:t>
            </w:r>
          </w:p>
        </w:tc>
        <w:tc>
          <w:tcPr>
            <w:tcW w:type="dxa" w:w="3067"/>
            <w:vAlign w:val="top"/>
          </w:tcPr>
          <w:p>
            <w:r>
              <w:rPr>
                <w:sz w:val="12"/>
              </w:rPr>
              <w:t>Idéalement au moins m·g·Δh ; frottements et commande augmentent l’apport réel.</w:t>
            </w:r>
          </w:p>
        </w:tc>
        <w:tc>
          <w:tcPr>
            <w:tcW w:type="dxa" w:w="2563"/>
            <w:vAlign w:val="top"/>
          </w:tcPr>
          <w:p>
            <w:r>
              <w:rPr>
                <w:sz w:val="12"/>
              </w:rPr>
              <w:t>Même dette de position, énergie différente selon pente et mécanisme.</w:t>
            </w:r>
          </w:p>
        </w:tc>
      </w:tr>
      <w:tr>
        <w:tc>
          <w:tcPr>
            <w:tcW w:type="dxa" w:w="1613"/>
            <w:vAlign w:val="top"/>
          </w:tcPr>
          <w:p>
            <w:r>
              <w:rPr>
                <w:sz w:val="12"/>
              </w:rPr>
              <w:t>Feuille / bureau</w:t>
            </w:r>
          </w:p>
        </w:tc>
        <w:tc>
          <w:tcPr>
            <w:tcW w:type="dxa" w:w="2794"/>
            <w:vAlign w:val="top"/>
          </w:tcPr>
          <w:p>
            <w:r>
              <w:rPr>
                <w:sz w:val="12"/>
              </w:rPr>
              <w:t>Replacer ou rendre la forme plane.</w:t>
            </w:r>
          </w:p>
        </w:tc>
        <w:tc>
          <w:tcPr>
            <w:tcW w:type="dxa" w:w="3067"/>
            <w:vAlign w:val="top"/>
          </w:tcPr>
          <w:p>
            <w:r>
              <w:rPr>
                <w:sz w:val="12"/>
              </w:rPr>
              <w:t>Translation idéale presque nulle ; défroissage irréversible exige travail et dissipe de l’énergie.</w:t>
            </w:r>
          </w:p>
        </w:tc>
        <w:tc>
          <w:tcPr>
            <w:tcW w:type="dxa" w:w="2563"/>
            <w:vAlign w:val="top"/>
          </w:tcPr>
          <w:p>
            <w:r>
              <w:rPr>
                <w:sz w:val="12"/>
              </w:rPr>
              <w:t>L’invariant position n’a pas le même coût que l’invariant forme.</w:t>
            </w:r>
          </w:p>
        </w:tc>
      </w:tr>
      <w:tr>
        <w:tc>
          <w:tcPr>
            <w:tcW w:type="dxa" w:w="1613"/>
            <w:vAlign w:val="top"/>
          </w:tcPr>
          <w:p>
            <w:r>
              <w:rPr>
                <w:sz w:val="12"/>
              </w:rPr>
              <w:t>Élastique / montage</w:t>
            </w:r>
          </w:p>
        </w:tc>
        <w:tc>
          <w:tcPr>
            <w:tcW w:type="dxa" w:w="2794"/>
            <w:vAlign w:val="top"/>
          </w:tcPr>
          <w:p>
            <w:r>
              <w:rPr>
                <w:sz w:val="12"/>
              </w:rPr>
              <w:t>Retrouver longueur et tension de référence.</w:t>
            </w:r>
          </w:p>
        </w:tc>
        <w:tc>
          <w:tcPr>
            <w:tcW w:type="dxa" w:w="3067"/>
            <w:vAlign w:val="top"/>
          </w:tcPr>
          <w:p>
            <w:r>
              <w:rPr>
                <w:sz w:val="12"/>
              </w:rPr>
              <w:t>Un élastique idéal restitue son énergie ; endommagé, il faut régler ou remplacer.</w:t>
            </w:r>
          </w:p>
        </w:tc>
        <w:tc>
          <w:tcPr>
            <w:tcW w:type="dxa" w:w="2563"/>
            <w:vAlign w:val="top"/>
          </w:tcPr>
          <w:p>
            <w:r>
              <w:rPr>
                <w:sz w:val="12"/>
              </w:rPr>
              <w:t>L’énergie peut être récupérable, dissipée ou à fournir : un scalaire brut échoue.</w:t>
            </w:r>
          </w:p>
        </w:tc>
      </w:tr>
      <w:tr>
        <w:tc>
          <w:tcPr>
            <w:tcW w:type="dxa" w:w="1613"/>
            <w:vAlign w:val="top"/>
          </w:tcPr>
          <w:p>
            <w:r>
              <w:rPr>
                <w:sz w:val="12"/>
              </w:rPr>
              <w:t>Lego / château</w:t>
            </w:r>
          </w:p>
        </w:tc>
        <w:tc>
          <w:tcPr>
            <w:tcW w:type="dxa" w:w="2794"/>
            <w:vAlign w:val="top"/>
          </w:tcPr>
          <w:p>
            <w:r>
              <w:rPr>
                <w:sz w:val="12"/>
              </w:rPr>
              <w:t>Restaurer géométrie et robustesse.</w:t>
            </w:r>
          </w:p>
        </w:tc>
        <w:tc>
          <w:tcPr>
            <w:tcW w:type="dxa" w:w="3067"/>
            <w:vAlign w:val="top"/>
          </w:tcPr>
          <w:p>
            <w:r>
              <w:rPr>
                <w:sz w:val="12"/>
              </w:rPr>
              <w:t>Énergie mécanique faible possible, mais tri, information, pièces et action doivent entrer dans la frontière.</w:t>
            </w:r>
          </w:p>
        </w:tc>
        <w:tc>
          <w:tcPr>
            <w:tcW w:type="dxa" w:w="2563"/>
            <w:vAlign w:val="top"/>
          </w:tcPr>
          <w:p>
            <w:r>
              <w:rPr>
                <w:sz w:val="12"/>
              </w:rPr>
              <w:t>Le travail d’organisation n’est pas déduit de la masse seule.</w:t>
            </w:r>
          </w:p>
        </w:tc>
      </w:tr>
      <w:tr>
        <w:tc>
          <w:tcPr>
            <w:tcW w:type="dxa" w:w="1613"/>
            <w:vAlign w:val="top"/>
          </w:tcPr>
          <w:p>
            <w:r>
              <w:rPr>
                <w:sz w:val="12"/>
              </w:rPr>
              <w:t>Verre / fenêtre</w:t>
            </w:r>
          </w:p>
        </w:tc>
        <w:tc>
          <w:tcPr>
            <w:tcW w:type="dxa" w:w="2794"/>
            <w:vAlign w:val="top"/>
          </w:tcPr>
          <w:p>
            <w:r>
              <w:rPr>
                <w:sz w:val="12"/>
              </w:rPr>
              <w:t>Retrouver une vitre sûre et continue.</w:t>
            </w:r>
          </w:p>
        </w:tc>
        <w:tc>
          <w:tcPr>
            <w:tcW w:type="dxa" w:w="3067"/>
            <w:vAlign w:val="top"/>
          </w:tcPr>
          <w:p>
            <w:r>
              <w:rPr>
                <w:sz w:val="12"/>
              </w:rPr>
              <w:t>Une fissure ne s’inverse pas spontanément ; remplacement ou refonte déplacent énergie et matière.</w:t>
            </w:r>
          </w:p>
        </w:tc>
        <w:tc>
          <w:tcPr>
            <w:tcW w:type="dxa" w:w="2563"/>
            <w:vAlign w:val="top"/>
          </w:tcPr>
          <w:p>
            <w:r>
              <w:rPr>
                <w:sz w:val="12"/>
              </w:rPr>
              <w:t>Le retour dépend du processus et peut créer une dette supérieure distincte.</w:t>
            </w:r>
          </w:p>
        </w:tc>
      </w:tr>
      <w:tr>
        <w:tc>
          <w:tcPr>
            <w:tcW w:type="dxa" w:w="1613"/>
            <w:vAlign w:val="top"/>
          </w:tcPr>
          <w:p>
            <w:r>
              <w:rPr>
                <w:sz w:val="12"/>
              </w:rPr>
              <w:t>Plastique / planète</w:t>
            </w:r>
          </w:p>
        </w:tc>
        <w:tc>
          <w:tcPr>
            <w:tcW w:type="dxa" w:w="2794"/>
            <w:vAlign w:val="top"/>
          </w:tcPr>
          <w:p>
            <w:r>
              <w:rPr>
                <w:sz w:val="12"/>
              </w:rPr>
              <w:t>Réemploi, recyclage ou état terminal admissible.</w:t>
            </w:r>
          </w:p>
        </w:tc>
        <w:tc>
          <w:tcPr>
            <w:tcW w:type="dxa" w:w="3067"/>
            <w:vAlign w:val="top"/>
          </w:tcPr>
          <w:p>
            <w:r>
              <w:rPr>
                <w:sz w:val="12"/>
              </w:rPr>
              <w:t>Collecte, séparation et transformation consomment une exergie ; dispersion réduit parfois la récupérabilité.</w:t>
            </w:r>
          </w:p>
        </w:tc>
        <w:tc>
          <w:tcPr>
            <w:tcW w:type="dxa" w:w="2563"/>
            <w:vAlign w:val="top"/>
          </w:tcPr>
          <w:p>
            <w:r>
              <w:rPr>
                <w:sz w:val="12"/>
              </w:rPr>
              <w:t>Le bilan terminal appartient au cadre planétaire et reste NON_MESURÉ sans filière fixée.</w:t>
            </w:r>
          </w:p>
        </w:tc>
      </w:tr>
    </w:tbl>
    <w:p>
      <w:pPr>
        <w:spacing w:before="100" w:after="50"/>
      </w:pPr>
      <w:r>
        <w:rPr>
          <w:b/>
          <w:color w:val="2F7DBE"/>
          <w:sz w:val="22"/>
        </w:rPr>
        <w:t>56.2 Borne thermodynamique minimale</w:t>
      </w:r>
    </w:p>
    <w:p>
      <w:pPr>
        <w:pStyle w:val="ListBullet"/>
        <w:spacing w:after="9"/>
      </w:pPr>
      <w:r>
        <w:rPr>
          <w:sz w:val="16"/>
        </w:rPr>
        <w:t>Définition intuitive — l’exergie est l’énergie utile réellement disponible pour produire la transformation visée, compte tenu de l’environnement. L’énergie totale se conserve ; l’exergie diminue lorsqu’elle est dispersée sous une forme devenue inutilisable.</w:t>
      </w:r>
    </w:p>
    <w:p>
      <w:pPr>
        <w:pStyle w:val="ListBullet"/>
        <w:spacing w:after="9"/>
      </w:pPr>
      <w:r>
        <w:rPr>
          <w:sz w:val="16"/>
        </w:rPr>
        <w:t>B*ᴄ = minimum d’exergie à fournir pour atteindre durablement une cible choisie dans F†ᴄ, sous frontière, milieu, actions, ressources et invariants préfixés.</w:t>
      </w:r>
    </w:p>
    <w:p>
      <w:pPr>
        <w:pStyle w:val="ListBullet"/>
        <w:spacing w:after="9"/>
      </w:pPr>
      <w:r>
        <w:rPr>
          <w:sz w:val="16"/>
        </w:rPr>
        <w:t>Pour un processus réel, l’apport utile ne peut être inférieur au minimum réversible comparable ; l’irréversibilité détruit de l’exergie selon B_détruite = T₀·S_générée ≥ 0.</w:t>
      </w:r>
    </w:p>
    <w:p>
      <w:pPr>
        <w:pStyle w:val="ListBullet"/>
        <w:spacing w:after="9"/>
      </w:pPr>
      <w:r>
        <w:rPr>
          <w:sz w:val="16"/>
        </w:rPr>
        <w:t>À température et volume constants, l’énergie libre de Helmholtz borne certains travaux réversibles ; à température et pression constantes, l’énergie libre de Gibbs est la référence appropriée. Le cadre expérimental décide laquelle.</w:t>
      </w:r>
    </w:p>
    <w:p>
      <w:pPr>
        <w:spacing w:before="100" w:after="50"/>
      </w:pPr>
      <w:r>
        <w:rPr>
          <w:b/>
          <w:color w:val="2F7DBE"/>
          <w:sz w:val="22"/>
        </w:rPr>
        <w:t>56.3 Temps et énergie restent deux axes</w:t>
      </w:r>
    </w:p>
    <w:p>
      <w:pPr>
        <w:spacing w:after="20"/>
        <w:jc w:val="center"/>
      </w:pPr>
      <w:r>
        <w:rPr>
          <w:b/>
          <w:color w:val="1F4E79"/>
          <w:sz w:val="20"/>
        </w:rPr>
        <w:t>Projection dynamique de C : (Δτᴄ, B*ᴄ, B_détruite, effets supérieurs)</w:t>
      </w:r>
    </w:p>
    <w:p>
      <w:pPr>
        <w:pStyle w:val="ListBullet"/>
        <w:spacing w:after="9"/>
      </w:pPr>
      <w:r>
        <w:rPr>
          <w:sz w:val="16"/>
        </w:rPr>
        <w:t>Accélérer le retour peut demander plus de puissance ou d’exergie ; économiser l’énergie peut allonger l’exposition et la dette de robustesse.</w:t>
      </w:r>
    </w:p>
    <w:p>
      <w:pPr>
        <w:pStyle w:val="ListBullet"/>
        <w:spacing w:after="9"/>
      </w:pPr>
      <w:r>
        <w:rPr>
          <w:sz w:val="16"/>
        </w:rPr>
        <w:t>Choisir le minimum non dominé temps–exergie sous invariants ; ne pas additionner secondes et joules, et ne pas insérer l’un ou l’autre brut dans S.</w:t>
      </w:r>
    </w:p>
    <w:p>
      <w:pPr>
        <w:pStyle w:val="ListBullet"/>
        <w:spacing w:after="9"/>
      </w:pPr>
      <w:r>
        <w:rPr>
          <w:sz w:val="16"/>
        </w:rPr>
        <w:t>Une compensation locale énergétiquement rapide peut induire une dette distincte dans le réseau, la matière ou la planète : l’audit supérieur reste obligatoire.</w:t>
      </w:r>
    </w:p>
    <w:p>
      <w:pPr>
        <w:spacing w:before="100" w:after="50"/>
      </w:pPr>
      <w:r>
        <w:rPr>
          <w:b/>
          <w:color w:val="2F7DBE"/>
          <w:sz w:val="22"/>
        </w:rPr>
        <w:t>56.4 Calcul multicadre obligatoire</w:t>
      </w:r>
    </w:p>
    <w:p>
      <w:pPr>
        <w:pStyle w:val="ListBullet"/>
        <w:spacing w:after="9"/>
      </w:pPr>
      <w:r>
        <w:rPr>
          <w:sz w:val="16"/>
        </w:rPr>
        <w:t>Six objets : PASS qualitatif — une énergie ou exergie de retour existe comme projection conditionnelle quand le retour est défini.</w:t>
      </w:r>
    </w:p>
    <w:p>
      <w:pPr>
        <w:pStyle w:val="ListBullet"/>
        <w:spacing w:after="9"/>
      </w:pPr>
      <w:r>
        <w:rPr>
          <w:sz w:val="16"/>
        </w:rPr>
        <w:t>« L’énergie intervient dans le calcul de la dette » : PASS. « L’énergie suffit à définir la dette » : FAIL par contre-exemples.</w:t>
      </w:r>
    </w:p>
    <w:p>
      <w:pPr>
        <w:pStyle w:val="ListBullet"/>
        <w:spacing w:after="9"/>
      </w:pPr>
      <w:r>
        <w:rPr>
          <w:sz w:val="16"/>
        </w:rPr>
        <w:t>B*ᴄ, pertes, puissance, temps et effets induits : NON_MESURÉS sans frontière, milieu, processus et instruments préfixés.</w:t>
      </w:r>
    </w:p>
    <w:p>
      <w:pPr>
        <w:pStyle w:val="ListBullet"/>
        <w:spacing w:after="9"/>
      </w:pPr>
      <w:r>
        <w:rPr>
          <w:sz w:val="16"/>
        </w:rPr>
        <w:t>Cadre planétaire : audit obligatoire ; bilan exergétique terminal réel = NON_MESURÉ.</w:t>
      </w:r>
    </w:p>
    <w:p>
      <w:pPr>
        <w:pStyle w:val="ListBullet"/>
        <w:spacing w:after="9"/>
      </w:pPr>
      <w:r>
        <w:rPr>
          <w:sz w:val="16"/>
        </w:rPr>
        <w:t>Correspondance exacte avec le corpus canonique : NON_VÉRIFIÉE dans ce passage.</w:t>
      </w:r>
    </w:p>
    <w:p>
      <w:pPr>
        <w:spacing w:after="20"/>
        <w:jc w:val="center"/>
      </w:pPr>
      <w:r>
        <w:rPr>
          <w:b/>
          <w:color w:val="1F4E79"/>
          <w:sz w:val="19"/>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7"/>
              </w:rPr>
              <w:t>VERROU — L’exergie minimale appartient au cadre qui fixe frontière, milieu et cible dans F†. C’est une projection de dette résorbable, jamais la perte entière. Référence historique, temps, exergie et irréversibilité restent séparés.</w:t>
            </w:r>
          </w:p>
        </w:tc>
      </w:tr>
    </w:tbl>
    <w:p>
      <w:pPr>
        <w:pageBreakBefore/>
        <w:spacing w:before="100" w:after="50"/>
      </w:pPr>
      <w:r>
        <w:rPr>
          <w:b/>
          <w:color w:val="2F7DBE"/>
          <w:sz w:val="26"/>
        </w:rPr>
        <w:t>SECTION 57 — Double référence — perte irréversible et meilleure cohérence atteignable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7"/>
              </w:rPr>
              <w:t>RÉSULTAT — Après une transformation irréversible, l’état antérieur reste la référence historique de la perte, mais il ne peut plus être la cible de retour. La compensation vise la meilleure cohérence globale encore atteignable sous les nouvelles contraintes, sans effacer la perte irréversible.</w:t>
            </w:r>
          </w:p>
        </w:tc>
      </w:tr>
    </w:tbl>
    <w:p>
      <w:pPr>
        <w:spacing w:before="100" w:after="50"/>
      </w:pPr>
      <w:r>
        <w:rPr>
          <w:b/>
          <w:color w:val="2F7DBE"/>
          <w:sz w:val="22"/>
        </w:rPr>
        <w:t>57.1 Passage sur six objets simples</w:t>
      </w:r>
    </w:p>
    <w:tbl>
      <w:tblPr>
        <w:tblStyle w:val="TableGrid"/>
        <w:tblW w:type="auto" w:w="0"/>
        <w:tblLook w:firstColumn="1" w:firstRow="1" w:lastColumn="0" w:lastRow="0" w:noHBand="0" w:noVBand="1" w:val="04A0"/>
      </w:tblPr>
      <w:tblGrid>
        <w:gridCol w:w="2592"/>
        <w:gridCol w:w="2592"/>
        <w:gridCol w:w="2592"/>
        <w:gridCol w:w="2592"/>
      </w:tblGrid>
      <w:tr>
        <w:tc>
          <w:tcPr>
            <w:tcW w:type="dxa" w:w="1555"/>
            <w:shd w:fill="D9EAF7"/>
          </w:tcPr>
          <w:p>
            <w:r>
              <w:rPr>
                <w:b/>
                <w:color w:val="1F4E79"/>
                <w:sz w:val="14"/>
              </w:rPr>
              <w:t>Objet</w:t>
            </w:r>
          </w:p>
        </w:tc>
        <w:tc>
          <w:tcPr>
            <w:tcW w:type="dxa" w:w="2621"/>
            <w:shd w:fill="D9EAF7"/>
          </w:tcPr>
          <w:p>
            <w:r>
              <w:rPr>
                <w:b/>
                <w:color w:val="1F4E79"/>
                <w:sz w:val="14"/>
              </w:rPr>
              <w:t>Référence antérieure</w:t>
            </w:r>
          </w:p>
        </w:tc>
        <w:tc>
          <w:tcPr>
            <w:tcW w:type="dxa" w:w="3312"/>
            <w:shd w:fill="D9EAF7"/>
          </w:tcPr>
          <w:p>
            <w:r>
              <w:rPr>
                <w:b/>
                <w:color w:val="1F4E79"/>
                <w:sz w:val="14"/>
              </w:rPr>
              <w:t>Meilleur état encore atteignable</w:t>
            </w:r>
          </w:p>
        </w:tc>
        <w:tc>
          <w:tcPr>
            <w:tcW w:type="dxa" w:w="2549"/>
            <w:shd w:fill="D9EAF7"/>
          </w:tcPr>
          <w:p>
            <w:r>
              <w:rPr>
                <w:b/>
                <w:color w:val="1F4E79"/>
                <w:sz w:val="14"/>
              </w:rPr>
              <w:t>Deux écarts à conserver</w:t>
            </w:r>
          </w:p>
        </w:tc>
      </w:tr>
      <w:tr>
        <w:tc>
          <w:tcPr>
            <w:tcW w:type="dxa" w:w="1555"/>
            <w:vAlign w:val="top"/>
          </w:tcPr>
          <w:p>
            <w:r>
              <w:rPr>
                <w:sz w:val="12"/>
              </w:rPr>
              <w:t>Feuille déchirée</w:t>
            </w:r>
          </w:p>
        </w:tc>
        <w:tc>
          <w:tcPr>
            <w:tcW w:type="dxa" w:w="2621"/>
            <w:vAlign w:val="top"/>
          </w:tcPr>
          <w:p>
            <w:r>
              <w:rPr>
                <w:sz w:val="12"/>
              </w:rPr>
              <w:t>Feuille entière et plane.</w:t>
            </w:r>
          </w:p>
        </w:tc>
        <w:tc>
          <w:tcPr>
            <w:tcW w:type="dxa" w:w="3312"/>
            <w:vAlign w:val="top"/>
          </w:tcPr>
          <w:p>
            <w:r>
              <w:rPr>
                <w:sz w:val="12"/>
              </w:rPr>
              <w:t>Deux parties stabilisées, assemblage réparé ou nouvel usage admissible.</w:t>
            </w:r>
          </w:p>
        </w:tc>
        <w:tc>
          <w:tcPr>
            <w:tcW w:type="dxa" w:w="2549"/>
            <w:vAlign w:val="top"/>
          </w:tcPr>
          <w:p>
            <w:r>
              <w:rPr>
                <w:sz w:val="12"/>
              </w:rPr>
              <w:t>Perte d’intégrité initiale + écart restant vers la meilleure option choisie.</w:t>
            </w:r>
          </w:p>
        </w:tc>
      </w:tr>
      <w:tr>
        <w:tc>
          <w:tcPr>
            <w:tcW w:type="dxa" w:w="1555"/>
            <w:vAlign w:val="top"/>
          </w:tcPr>
          <w:p>
            <w:r>
              <w:rPr>
                <w:sz w:val="12"/>
              </w:rPr>
              <w:t>Élastique coupé</w:t>
            </w:r>
          </w:p>
        </w:tc>
        <w:tc>
          <w:tcPr>
            <w:tcW w:type="dxa" w:w="2621"/>
            <w:vAlign w:val="top"/>
          </w:tcPr>
          <w:p>
            <w:r>
              <w:rPr>
                <w:sz w:val="12"/>
              </w:rPr>
              <w:t>Élastique continu à sa tension nominale.</w:t>
            </w:r>
          </w:p>
        </w:tc>
        <w:tc>
          <w:tcPr>
            <w:tcW w:type="dxa" w:w="3312"/>
            <w:vAlign w:val="top"/>
          </w:tcPr>
          <w:p>
            <w:r>
              <w:rPr>
                <w:sz w:val="12"/>
              </w:rPr>
              <w:t>Nouage, remplacement ou montage redéfini sous invariants de sécurité.</w:t>
            </w:r>
          </w:p>
        </w:tc>
        <w:tc>
          <w:tcPr>
            <w:tcW w:type="dxa" w:w="2549"/>
            <w:vAlign w:val="top"/>
          </w:tcPr>
          <w:p>
            <w:r>
              <w:rPr>
                <w:sz w:val="12"/>
              </w:rPr>
              <w:t>Continuité perdue + dette résorbable du nouveau montage.</w:t>
            </w:r>
          </w:p>
        </w:tc>
      </w:tr>
      <w:tr>
        <w:tc>
          <w:tcPr>
            <w:tcW w:type="dxa" w:w="1555"/>
            <w:vAlign w:val="top"/>
          </w:tcPr>
          <w:p>
            <w:r>
              <w:rPr>
                <w:sz w:val="12"/>
              </w:rPr>
              <w:t>Lego incomplet</w:t>
            </w:r>
          </w:p>
        </w:tc>
        <w:tc>
          <w:tcPr>
            <w:tcW w:type="dxa" w:w="2621"/>
            <w:vAlign w:val="top"/>
          </w:tcPr>
          <w:p>
            <w:r>
              <w:rPr>
                <w:sz w:val="12"/>
              </w:rPr>
              <w:t>Château initial avec toutes ses briques.</w:t>
            </w:r>
          </w:p>
        </w:tc>
        <w:tc>
          <w:tcPr>
            <w:tcW w:type="dxa" w:w="3312"/>
            <w:vAlign w:val="top"/>
          </w:tcPr>
          <w:p>
            <w:r>
              <w:rPr>
                <w:sz w:val="12"/>
              </w:rPr>
              <w:t>Structure plus petite mais stable avec les briques restantes.</w:t>
            </w:r>
          </w:p>
        </w:tc>
        <w:tc>
          <w:tcPr>
            <w:tcW w:type="dxa" w:w="2549"/>
            <w:vAlign w:val="top"/>
          </w:tcPr>
          <w:p>
            <w:r>
              <w:rPr>
                <w:sz w:val="12"/>
              </w:rPr>
              <w:t>Fonctions perdues + écart actuel vers la meilleure structure possible.</w:t>
            </w:r>
          </w:p>
        </w:tc>
      </w:tr>
      <w:tr>
        <w:tc>
          <w:tcPr>
            <w:tcW w:type="dxa" w:w="1555"/>
            <w:vAlign w:val="top"/>
          </w:tcPr>
          <w:p>
            <w:r>
              <w:rPr>
                <w:sz w:val="12"/>
              </w:rPr>
              <w:t>Vitre brisée</w:t>
            </w:r>
          </w:p>
        </w:tc>
        <w:tc>
          <w:tcPr>
            <w:tcW w:type="dxa" w:w="2621"/>
            <w:vAlign w:val="top"/>
          </w:tcPr>
          <w:p>
            <w:r>
              <w:rPr>
                <w:sz w:val="12"/>
              </w:rPr>
              <w:t>Vitre initiale continue.</w:t>
            </w:r>
          </w:p>
        </w:tc>
        <w:tc>
          <w:tcPr>
            <w:tcW w:type="dxa" w:w="3312"/>
            <w:vAlign w:val="top"/>
          </w:tcPr>
          <w:p>
            <w:r>
              <w:rPr>
                <w:sz w:val="12"/>
              </w:rPr>
              <w:t>Nouvelle vitre, fermeture provisoire sûre ou matière valorisée selon le cadre.</w:t>
            </w:r>
          </w:p>
        </w:tc>
        <w:tc>
          <w:tcPr>
            <w:tcW w:type="dxa" w:w="2549"/>
            <w:vAlign w:val="top"/>
          </w:tcPr>
          <w:p>
            <w:r>
              <w:rPr>
                <w:sz w:val="12"/>
              </w:rPr>
              <w:t>Identité initiale irréversible + compensation encore requise.</w:t>
            </w:r>
          </w:p>
        </w:tc>
      </w:tr>
      <w:tr>
        <w:tc>
          <w:tcPr>
            <w:tcW w:type="dxa" w:w="1555"/>
            <w:vAlign w:val="top"/>
          </w:tcPr>
          <w:p>
            <w:r>
              <w:rPr>
                <w:sz w:val="12"/>
              </w:rPr>
              <w:t>Roulement usé</w:t>
            </w:r>
          </w:p>
        </w:tc>
        <w:tc>
          <w:tcPr>
            <w:tcW w:type="dxa" w:w="2621"/>
            <w:vAlign w:val="top"/>
          </w:tcPr>
          <w:p>
            <w:r>
              <w:rPr>
                <w:sz w:val="12"/>
              </w:rPr>
              <w:t>Régime nominal et pleine charge.</w:t>
            </w:r>
          </w:p>
        </w:tc>
        <w:tc>
          <w:tcPr>
            <w:tcW w:type="dxa" w:w="3312"/>
            <w:vAlign w:val="top"/>
          </w:tcPr>
          <w:p>
            <w:r>
              <w:rPr>
                <w:sz w:val="12"/>
              </w:rPr>
              <w:t>Régime déclassé sûr, réparation ou remplacement disponible.</w:t>
            </w:r>
          </w:p>
        </w:tc>
        <w:tc>
          <w:tcPr>
            <w:tcW w:type="dxa" w:w="2549"/>
            <w:vAlign w:val="top"/>
          </w:tcPr>
          <w:p>
            <w:r>
              <w:rPr>
                <w:sz w:val="12"/>
              </w:rPr>
              <w:t>Capacité nominale perdue + écart vers le meilleur régime soutenable.</w:t>
            </w:r>
          </w:p>
        </w:tc>
      </w:tr>
      <w:tr>
        <w:tc>
          <w:tcPr>
            <w:tcW w:type="dxa" w:w="1555"/>
            <w:vAlign w:val="top"/>
          </w:tcPr>
          <w:p>
            <w:r>
              <w:rPr>
                <w:sz w:val="12"/>
              </w:rPr>
              <w:t>Terre après impact</w:t>
            </w:r>
          </w:p>
        </w:tc>
        <w:tc>
          <w:tcPr>
            <w:tcW w:type="dxa" w:w="2621"/>
            <w:vAlign w:val="top"/>
          </w:tcPr>
          <w:p>
            <w:r>
              <w:rPr>
                <w:sz w:val="12"/>
              </w:rPr>
              <w:t>Terre antérieure au choc lunaire hypothétique.</w:t>
            </w:r>
          </w:p>
        </w:tc>
        <w:tc>
          <w:tcPr>
            <w:tcW w:type="dxa" w:w="3312"/>
            <w:vAlign w:val="top"/>
          </w:tcPr>
          <w:p>
            <w:r>
              <w:rPr>
                <w:sz w:val="12"/>
              </w:rPr>
              <w:t>Meilleure trajectoire biosphérique et planétaire soutenable avec l’état restant.</w:t>
            </w:r>
          </w:p>
        </w:tc>
        <w:tc>
          <w:tcPr>
            <w:tcW w:type="dxa" w:w="2549"/>
            <w:vAlign w:val="top"/>
          </w:tcPr>
          <w:p>
            <w:r>
              <w:rPr>
                <w:sz w:val="12"/>
              </w:rPr>
              <w:t>Perte planétaire irréversible + dette résorbable vers la nouvelle frontière.</w:t>
            </w:r>
          </w:p>
        </w:tc>
      </w:tr>
    </w:tbl>
    <w:p>
      <w:pPr>
        <w:spacing w:before="100" w:after="50"/>
      </w:pPr>
      <w:r>
        <w:rPr>
          <w:b/>
          <w:color w:val="2F7DBE"/>
          <w:sz w:val="22"/>
        </w:rPr>
        <w:t>57.2 Les deux références obligatoires</w:t>
      </w:r>
    </w:p>
    <w:p>
      <w:pPr>
        <w:pStyle w:val="ListBullet"/>
        <w:spacing w:after="9"/>
      </w:pPr>
      <w:r>
        <w:rPr>
          <w:sz w:val="16"/>
        </w:rPr>
        <w:t>E⁰ᴄ : référence historique ou contrefactuelle avant l’événement. Elle mesure ce qui a été perdu et ne doit jamais être réécrit après coup.</w:t>
      </w:r>
    </w:p>
    <w:p>
      <w:pPr>
        <w:pStyle w:val="ListBullet"/>
        <w:spacing w:after="9"/>
      </w:pPr>
      <w:r>
        <w:rPr>
          <w:sz w:val="16"/>
        </w:rPr>
        <w:t>Rᴄ : ensemble des états encore atteignables depuis l’état post-événement, sous ressources, lois, horizon et invariants préfixés.</w:t>
      </w:r>
    </w:p>
    <w:p>
      <w:pPr>
        <w:pStyle w:val="ListBullet"/>
        <w:spacing w:after="9"/>
      </w:pPr>
      <w:r>
        <w:rPr>
          <w:sz w:val="16"/>
        </w:rPr>
        <w:t>F†ᴄ : frontière des états non dominés de Rᴄ sur les proxys de cohérence globaux. Sans poids normatifs, il peut ne pas exister de maximum unique.</w:t>
      </w:r>
    </w:p>
    <w:p>
      <w:pPr>
        <w:pStyle w:val="ListBullet"/>
        <w:spacing w:after="9"/>
      </w:pPr>
      <w:r>
        <w:rPr>
          <w:sz w:val="16"/>
        </w:rPr>
        <w:t>La cible de compensation est choisie dans F†ᴄ ; si E⁰ᴄ reste atteignable et non dominé, il peut redevenir la cible. Sinon, exiger son retour serait incohérent.</w:t>
      </w:r>
    </w:p>
    <w:p>
      <w:pPr>
        <w:spacing w:before="100" w:after="50"/>
      </w:pPr>
      <w:r>
        <w:rPr>
          <w:b/>
          <w:color w:val="2F7DBE"/>
          <w:sz w:val="22"/>
        </w:rPr>
        <w:t>57.3 Décomposition sans effacement ni double compte</w:t>
      </w:r>
    </w:p>
    <w:p>
      <w:pPr>
        <w:spacing w:after="20"/>
        <w:jc w:val="center"/>
      </w:pPr>
      <w:r>
        <w:rPr>
          <w:b/>
          <w:color w:val="1F4E79"/>
          <w:sz w:val="19"/>
        </w:rPr>
        <w:t>Profil historique = perte irréversible [E⁰ᴄ → F†ᴄ]  +  dette résorbable [xᴄ(t) → F†ᴄ]</w:t>
      </w:r>
    </w:p>
    <w:p>
      <w:pPr>
        <w:pStyle w:val="ListBullet"/>
        <w:spacing w:after="9"/>
      </w:pPr>
      <w:r>
        <w:rPr>
          <w:sz w:val="16"/>
        </w:rPr>
        <w:t>Le signe + indique deux composantes à conserver, pas une addition numérique : unités, recouvrements et proxys peuvent être différents.</w:t>
      </w:r>
    </w:p>
    <w:p>
      <w:pPr>
        <w:pStyle w:val="ListBullet"/>
        <w:spacing w:after="9"/>
      </w:pPr>
      <w:r>
        <w:rPr>
          <w:sz w:val="16"/>
        </w:rPr>
        <w:t>Temps minimal et exergie minimale se calculent vers une cible choisie de F†ᴄ, jamais automatiquement vers E⁰ᴄ.</w:t>
      </w:r>
    </w:p>
    <w:p>
      <w:pPr>
        <w:pStyle w:val="ListBullet"/>
        <w:spacing w:after="9"/>
      </w:pPr>
      <w:r>
        <w:rPr>
          <w:sz w:val="16"/>
        </w:rPr>
        <w:t>Relever la cible après chaque dommage sans conserver E⁰ᴄ ferait disparaître artificiellement la perte ; maintenir E⁰ᴄ comme cible impossible rendrait toute compensation infinie par construction.</w:t>
      </w:r>
    </w:p>
    <w:p>
      <w:pPr>
        <w:spacing w:before="100" w:after="50"/>
      </w:pPr>
      <w:r>
        <w:rPr>
          <w:b/>
          <w:color w:val="2F7DBE"/>
          <w:sz w:val="22"/>
        </w:rPr>
        <w:t>57.4 Calcul multicadre obligatoire</w:t>
      </w:r>
    </w:p>
    <w:p>
      <w:pPr>
        <w:pStyle w:val="ListBullet"/>
        <w:spacing w:after="9"/>
      </w:pPr>
      <w:r>
        <w:rPr>
          <w:sz w:val="16"/>
        </w:rPr>
        <w:t>Six objets : PASS qualitatif — référence historique et cible atteignable divergent après irréversibilité.</w:t>
      </w:r>
    </w:p>
    <w:p>
      <w:pPr>
        <w:pStyle w:val="ListBullet"/>
        <w:spacing w:after="9"/>
      </w:pPr>
      <w:r>
        <w:rPr>
          <w:sz w:val="16"/>
        </w:rPr>
        <w:t>Proposition de Frédéric « viser le niveau maximal possible de nouvelle cohérence globale » : PASS, corrigée en frontière non dominée si aucun maximum unique n’est défini.</w:t>
      </w:r>
    </w:p>
    <w:p>
      <w:pPr>
        <w:pStyle w:val="ListBullet"/>
        <w:spacing w:after="9"/>
      </w:pPr>
      <w:r>
        <w:rPr>
          <w:sz w:val="16"/>
        </w:rPr>
        <w:t>Atteignabilité, proxys globaux, frontière F†ᴄ, temps, exergie et perte irréversible : NON_MESURÉS sans modèle et instruments.</w:t>
      </w:r>
    </w:p>
    <w:p>
      <w:pPr>
        <w:pStyle w:val="ListBullet"/>
        <w:spacing w:after="9"/>
      </w:pPr>
      <w:r>
        <w:rPr>
          <w:sz w:val="16"/>
        </w:rPr>
        <w:t>Cadre planétaire : obligatoire ; scénario d’impact lunaire = expérience de pensée, valeurs physiques NON_MESURÉES.</w:t>
      </w:r>
    </w:p>
    <w:p>
      <w:pPr>
        <w:pStyle w:val="ListBullet"/>
        <w:spacing w:after="9"/>
      </w:pPr>
      <w:r>
        <w:rPr>
          <w:sz w:val="16"/>
        </w:rPr>
        <w:t>Correspondance exacte avec le corpus canonique : NON_VÉRIFIÉE dans ce passage.</w:t>
      </w:r>
    </w:p>
    <w:p>
      <w:pPr>
        <w:spacing w:after="20"/>
        <w:jc w:val="center"/>
      </w:pPr>
      <w:r>
        <w:rPr>
          <w:b/>
          <w:color w:val="1F4E79"/>
          <w:sz w:val="18"/>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7"/>
              </w:rPr>
              <w:t>VERROU — Ne jamais confondre référence historique et cible de retour. Conserver la perte irréversible par rapport à l’avant ; compenser la dette résorbable vers la meilleure frontière encore atteignable. Aucun maximum unique sans ordre ou poids explicites.</w:t>
            </w:r>
          </w:p>
        </w:tc>
      </w:tr>
    </w:tbl>
    <w:p>
      <w:pPr>
        <w:pageBreakBefore/>
        <w:spacing w:before="100" w:after="50"/>
      </w:pPr>
      <w:r>
        <w:rPr>
          <w:b/>
          <w:color w:val="2F7DBE"/>
          <w:sz w:val="26"/>
        </w:rPr>
        <w:t>SECTION 58 — Porte d’adoption — aucune route nouvelle sans dominance multicadre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7"/>
              </w:rPr>
              <w:t>RÉSULTAT — Une route candidate peut être explorée, mais elle ne remplace la route courante que si sa trajectoire complète ne régresse sur aucun proxy critique d’aucun cadre affecté et améliore au moins un élément mesuré. Toute dette de transition ou exportée appartient à la comparaison.</w:t>
            </w:r>
          </w:p>
        </w:tc>
      </w:tr>
    </w:tbl>
    <w:p>
      <w:pPr>
        <w:spacing w:before="100" w:after="50"/>
      </w:pPr>
      <w:r>
        <w:rPr>
          <w:b/>
          <w:color w:val="2F7DBE"/>
          <w:sz w:val="22"/>
        </w:rPr>
        <w:t>58.1 Passage sur six décisions simples</w:t>
      </w:r>
    </w:p>
    <w:tbl>
      <w:tblPr>
        <w:tblStyle w:val="TableGrid"/>
        <w:tblW w:type="auto" w:w="0"/>
        <w:tblLook w:firstColumn="1" w:firstRow="1" w:lastColumn="0" w:lastRow="0" w:noHBand="0" w:noVBand="1" w:val="04A0"/>
      </w:tblPr>
      <w:tblGrid>
        <w:gridCol w:w="2592"/>
        <w:gridCol w:w="2592"/>
        <w:gridCol w:w="2592"/>
        <w:gridCol w:w="2592"/>
      </w:tblGrid>
      <w:tr>
        <w:tc>
          <w:tcPr>
            <w:tcW w:type="dxa" w:w="1526"/>
            <w:shd w:fill="D9EAF7"/>
          </w:tcPr>
          <w:p>
            <w:r>
              <w:rPr>
                <w:b/>
                <w:color w:val="1F4E79"/>
                <w:sz w:val="14"/>
              </w:rPr>
              <w:t>Objet</w:t>
            </w:r>
          </w:p>
        </w:tc>
        <w:tc>
          <w:tcPr>
            <w:tcW w:type="dxa" w:w="2909"/>
            <w:shd w:fill="D9EAF7"/>
          </w:tcPr>
          <w:p>
            <w:r>
              <w:rPr>
                <w:b/>
                <w:color w:val="1F4E79"/>
                <w:sz w:val="14"/>
              </w:rPr>
              <w:t>Route actuelle A</w:t>
            </w:r>
          </w:p>
        </w:tc>
        <w:tc>
          <w:tcPr>
            <w:tcW w:type="dxa" w:w="2995"/>
            <w:shd w:fill="D9EAF7"/>
          </w:tcPr>
          <w:p>
            <w:r>
              <w:rPr>
                <w:b/>
                <w:color w:val="1F4E79"/>
                <w:sz w:val="14"/>
              </w:rPr>
              <w:t>Route candidate B</w:t>
            </w:r>
          </w:p>
        </w:tc>
        <w:tc>
          <w:tcPr>
            <w:tcW w:type="dxa" w:w="2606"/>
            <w:shd w:fill="D9EAF7"/>
          </w:tcPr>
          <w:p>
            <w:r>
              <w:rPr>
                <w:b/>
                <w:color w:val="1F4E79"/>
                <w:sz w:val="14"/>
              </w:rPr>
              <w:t>Verdict multicadre</w:t>
            </w:r>
          </w:p>
        </w:tc>
      </w:tr>
      <w:tr>
        <w:tc>
          <w:tcPr>
            <w:tcW w:type="dxa" w:w="1526"/>
            <w:vAlign w:val="top"/>
          </w:tcPr>
          <w:p>
            <w:r>
              <w:rPr>
                <w:sz w:val="12"/>
              </w:rPr>
              <w:t>Bille</w:t>
            </w:r>
          </w:p>
        </w:tc>
        <w:tc>
          <w:tcPr>
            <w:tcW w:type="dxa" w:w="2909"/>
            <w:vAlign w:val="top"/>
          </w:tcPr>
          <w:p>
            <w:r>
              <w:rPr>
                <w:sz w:val="12"/>
              </w:rPr>
              <w:t>Levage direct : rapide, travail élevé.</w:t>
            </w:r>
          </w:p>
        </w:tc>
        <w:tc>
          <w:tcPr>
            <w:tcW w:type="dxa" w:w="2995"/>
            <w:vAlign w:val="top"/>
          </w:tcPr>
          <w:p>
            <w:r>
              <w:rPr>
                <w:sz w:val="12"/>
              </w:rPr>
              <w:t>Rampe : travail idéal proche, puissance moindre, temps supérieur.</w:t>
            </w:r>
          </w:p>
        </w:tc>
        <w:tc>
          <w:tcPr>
            <w:tcW w:type="dxa" w:w="2606"/>
            <w:vAlign w:val="top"/>
          </w:tcPr>
          <w:p>
            <w:r>
              <w:rPr>
                <w:sz w:val="12"/>
              </w:rPr>
              <w:t>Incomparables si temps et puissance sont critiques ; aucune substitution automatique.</w:t>
            </w:r>
          </w:p>
        </w:tc>
      </w:tr>
      <w:tr>
        <w:tc>
          <w:tcPr>
            <w:tcW w:type="dxa" w:w="1526"/>
            <w:vAlign w:val="top"/>
          </w:tcPr>
          <w:p>
            <w:r>
              <w:rPr>
                <w:sz w:val="12"/>
              </w:rPr>
              <w:t>Feuille</w:t>
            </w:r>
          </w:p>
        </w:tc>
        <w:tc>
          <w:tcPr>
            <w:tcW w:type="dxa" w:w="2909"/>
            <w:vAlign w:val="top"/>
          </w:tcPr>
          <w:p>
            <w:r>
              <w:rPr>
                <w:sz w:val="12"/>
              </w:rPr>
              <w:t>La replacer sans la défroisser.</w:t>
            </w:r>
          </w:p>
        </w:tc>
        <w:tc>
          <w:tcPr>
            <w:tcW w:type="dxa" w:w="2995"/>
            <w:vAlign w:val="top"/>
          </w:tcPr>
          <w:p>
            <w:r>
              <w:rPr>
                <w:sz w:val="12"/>
              </w:rPr>
              <w:t>La défroisser : meilleure forme, plus de travail et risque de déchirure.</w:t>
            </w:r>
          </w:p>
        </w:tc>
        <w:tc>
          <w:tcPr>
            <w:tcW w:type="dxa" w:w="2606"/>
            <w:vAlign w:val="top"/>
          </w:tcPr>
          <w:p>
            <w:r>
              <w:rPr>
                <w:sz w:val="12"/>
              </w:rPr>
              <w:t>B domine seulement si forme requise et risque/énergie non aggravés.</w:t>
            </w:r>
          </w:p>
        </w:tc>
      </w:tr>
      <w:tr>
        <w:tc>
          <w:tcPr>
            <w:tcW w:type="dxa" w:w="1526"/>
            <w:vAlign w:val="top"/>
          </w:tcPr>
          <w:p>
            <w:r>
              <w:rPr>
                <w:sz w:val="12"/>
              </w:rPr>
              <w:t>Élastique</w:t>
            </w:r>
          </w:p>
        </w:tc>
        <w:tc>
          <w:tcPr>
            <w:tcW w:type="dxa" w:w="2909"/>
            <w:vAlign w:val="top"/>
          </w:tcPr>
          <w:p>
            <w:r>
              <w:rPr>
                <w:sz w:val="12"/>
              </w:rPr>
              <w:t>Nœud provisoire : rapide, tension altérée.</w:t>
            </w:r>
          </w:p>
        </w:tc>
        <w:tc>
          <w:tcPr>
            <w:tcW w:type="dxa" w:w="2995"/>
            <w:vAlign w:val="top"/>
          </w:tcPr>
          <w:p>
            <w:r>
              <w:rPr>
                <w:sz w:val="12"/>
              </w:rPr>
              <w:t>Remplacement : fonction restaurée, matière et déchet supplémentaires.</w:t>
            </w:r>
          </w:p>
        </w:tc>
        <w:tc>
          <w:tcPr>
            <w:tcW w:type="dxa" w:w="2606"/>
            <w:vAlign w:val="top"/>
          </w:tcPr>
          <w:p>
            <w:r>
              <w:rPr>
                <w:sz w:val="12"/>
              </w:rPr>
              <w:t>Gain local contre dette matérielle ; frontière, pas dominance.</w:t>
            </w:r>
          </w:p>
        </w:tc>
      </w:tr>
      <w:tr>
        <w:tc>
          <w:tcPr>
            <w:tcW w:type="dxa" w:w="1526"/>
            <w:vAlign w:val="top"/>
          </w:tcPr>
          <w:p>
            <w:r>
              <w:rPr>
                <w:sz w:val="12"/>
              </w:rPr>
              <w:t>Lego</w:t>
            </w:r>
          </w:p>
        </w:tc>
        <w:tc>
          <w:tcPr>
            <w:tcW w:type="dxa" w:w="2909"/>
            <w:vAlign w:val="top"/>
          </w:tcPr>
          <w:p>
            <w:r>
              <w:rPr>
                <w:sz w:val="12"/>
              </w:rPr>
              <w:t>Renforcer le château debout.</w:t>
            </w:r>
          </w:p>
        </w:tc>
        <w:tc>
          <w:tcPr>
            <w:tcW w:type="dxa" w:w="2995"/>
            <w:vAlign w:val="top"/>
          </w:tcPr>
          <w:p>
            <w:r>
              <w:rPr>
                <w:sz w:val="12"/>
              </w:rPr>
              <w:t>Démonter puis reconstruire : dette transitoire forte, robustesse finale supérieure.</w:t>
            </w:r>
          </w:p>
        </w:tc>
        <w:tc>
          <w:tcPr>
            <w:tcW w:type="dxa" w:w="2606"/>
            <w:vAlign w:val="top"/>
          </w:tcPr>
          <w:p>
            <w:r>
              <w:rPr>
                <w:sz w:val="12"/>
              </w:rPr>
              <w:t>Comparer les trajectoires ; accepter le creux seulement s’il est borné.</w:t>
            </w:r>
          </w:p>
        </w:tc>
      </w:tr>
      <w:tr>
        <w:tc>
          <w:tcPr>
            <w:tcW w:type="dxa" w:w="1526"/>
            <w:vAlign w:val="top"/>
          </w:tcPr>
          <w:p>
            <w:r>
              <w:rPr>
                <w:sz w:val="12"/>
              </w:rPr>
              <w:t>Vitre</w:t>
            </w:r>
          </w:p>
        </w:tc>
        <w:tc>
          <w:tcPr>
            <w:tcW w:type="dxa" w:w="2909"/>
            <w:vAlign w:val="top"/>
          </w:tcPr>
          <w:p>
            <w:r>
              <w:rPr>
                <w:sz w:val="12"/>
              </w:rPr>
              <w:t>Film de sécurité immédiat.</w:t>
            </w:r>
          </w:p>
        </w:tc>
        <w:tc>
          <w:tcPr>
            <w:tcW w:type="dxa" w:w="2995"/>
            <w:vAlign w:val="top"/>
          </w:tcPr>
          <w:p>
            <w:r>
              <w:rPr>
                <w:sz w:val="12"/>
              </w:rPr>
              <w:t>Remplacement complet plus lent et énergivore.</w:t>
            </w:r>
          </w:p>
        </w:tc>
        <w:tc>
          <w:tcPr>
            <w:tcW w:type="dxa" w:w="2606"/>
            <w:vAlign w:val="top"/>
          </w:tcPr>
          <w:p>
            <w:r>
              <w:rPr>
                <w:sz w:val="12"/>
              </w:rPr>
              <w:t>Horizons court et long divergents ; conserver deux routes si aucune ne domine.</w:t>
            </w:r>
          </w:p>
        </w:tc>
      </w:tr>
      <w:tr>
        <w:tc>
          <w:tcPr>
            <w:tcW w:type="dxa" w:w="1526"/>
            <w:vAlign w:val="top"/>
          </w:tcPr>
          <w:p>
            <w:r>
              <w:rPr>
                <w:sz w:val="12"/>
              </w:rPr>
              <w:t>Planète</w:t>
            </w:r>
          </w:p>
        </w:tc>
        <w:tc>
          <w:tcPr>
            <w:tcW w:type="dxa" w:w="2909"/>
            <w:vAlign w:val="top"/>
          </w:tcPr>
          <w:p>
            <w:r>
              <w:rPr>
                <w:sz w:val="12"/>
              </w:rPr>
              <w:t>Récupération rapide très énergivore.</w:t>
            </w:r>
          </w:p>
        </w:tc>
        <w:tc>
          <w:tcPr>
            <w:tcW w:type="dxa" w:w="2995"/>
            <w:vAlign w:val="top"/>
          </w:tcPr>
          <w:p>
            <w:r>
              <w:rPr>
                <w:sz w:val="12"/>
              </w:rPr>
              <w:t>Récupération lente à exergie moindre.</w:t>
            </w:r>
          </w:p>
        </w:tc>
        <w:tc>
          <w:tcPr>
            <w:tcW w:type="dxa" w:w="2606"/>
            <w:vAlign w:val="top"/>
          </w:tcPr>
          <w:p>
            <w:r>
              <w:rPr>
                <w:sz w:val="12"/>
              </w:rPr>
              <w:t>Temps, pertes irréversibles et dette planétaire doivent tous être comparés.</w:t>
            </w:r>
          </w:p>
        </w:tc>
      </w:tr>
    </w:tbl>
    <w:p>
      <w:pPr>
        <w:spacing w:before="100" w:after="50"/>
      </w:pPr>
      <w:r>
        <w:rPr>
          <w:b/>
          <w:color w:val="2F7DBE"/>
          <w:sz w:val="22"/>
        </w:rPr>
        <w:t>58.2 Comparer l’union des cadres et la trajectoire entière</w:t>
      </w:r>
    </w:p>
    <w:p>
      <w:pPr>
        <w:pStyle w:val="ListBullet"/>
        <w:spacing w:after="9"/>
      </w:pPr>
      <w:r>
        <w:rPr>
          <w:sz w:val="16"/>
        </w:rPr>
        <w:t>Former l’union des cadres causalement affectés par A ou B. Un cadre créé seulement par B ne peut pas être omis de son bilan.</w:t>
      </w:r>
    </w:p>
    <w:p>
      <w:pPr>
        <w:pStyle w:val="ListBullet"/>
        <w:spacing w:after="9"/>
      </w:pPr>
      <w:r>
        <w:rPr>
          <w:sz w:val="16"/>
        </w:rPr>
        <w:t>Comparer depuis le même état de départ, avec E⁰ historique, frontière atteignable F†, horizon, perturbations, résolution et invariants identiques.</w:t>
      </w:r>
    </w:p>
    <w:p>
      <w:pPr>
        <w:pStyle w:val="ListBullet"/>
        <w:spacing w:after="9"/>
      </w:pPr>
      <w:r>
        <w:rPr>
          <w:sz w:val="16"/>
        </w:rPr>
        <w:t>Inclure la dette de bascule : démontage, apprentissage, arrêt de service, temps, puissance, exergie détruite, ressources et effets exportés jusqu’à la planète.</w:t>
      </w:r>
    </w:p>
    <w:p>
      <w:pPr>
        <w:pStyle w:val="ListBullet"/>
        <w:spacing w:after="9"/>
      </w:pPr>
      <w:r>
        <w:rPr>
          <w:sz w:val="16"/>
        </w:rPr>
        <w:t>Une baisse transitoire est admissible uniquement si sa profondeur, sa durée et ses invariants de sécurité sont bornés avant l’essai ; sinon veto ou NON_MESURÉ.</w:t>
      </w:r>
    </w:p>
    <w:p>
      <w:pPr>
        <w:spacing w:before="100" w:after="50"/>
      </w:pPr>
      <w:r>
        <w:rPr>
          <w:b/>
          <w:color w:val="2F7DBE"/>
          <w:sz w:val="22"/>
        </w:rPr>
        <w:t>58.3 Dominance multicadre robuste</w:t>
      </w:r>
    </w:p>
    <w:p>
      <w:pPr>
        <w:spacing w:after="20"/>
        <w:jc w:val="center"/>
      </w:pPr>
      <w:r>
        <w:rPr>
          <w:b/>
          <w:color w:val="1F4E79"/>
          <w:sz w:val="19"/>
        </w:rPr>
        <w:t>B remplace A ⇔ aucune régression critique démontrée dans tout cadre affecté, et au moins un gain strict démontré</w:t>
      </w:r>
    </w:p>
    <w:p>
      <w:pPr>
        <w:pStyle w:val="ListBullet"/>
        <w:spacing w:after="9"/>
      </w:pPr>
      <w:r>
        <w:rPr>
          <w:sz w:val="16"/>
        </w:rPr>
        <w:t>Les comparaisons portent sur les profils : perte irréversible, dette résorbable, futurs admissibles, temps, exergie, incertitude et effets supérieurs.</w:t>
      </w:r>
    </w:p>
    <w:p>
      <w:pPr>
        <w:pStyle w:val="ListBullet"/>
        <w:spacing w:after="9"/>
      </w:pPr>
      <w:r>
        <w:rPr>
          <w:sz w:val="16"/>
        </w:rPr>
        <w:t>Si B améliore un axe mais en dégrade un autre, A et B restent non dominés. Un poids normatif explicite est requis ; aucune moyenne cachée.</w:t>
      </w:r>
    </w:p>
    <w:p>
      <w:pPr>
        <w:pStyle w:val="ListBullet"/>
        <w:spacing w:after="9"/>
      </w:pPr>
      <w:r>
        <w:rPr>
          <w:sz w:val="16"/>
        </w:rPr>
        <w:t>Si un axe critique est NON_MESURÉ, la dominance n’est pas établie. B peut rester expérimental mais ne remplace pas A.</w:t>
      </w:r>
    </w:p>
    <w:p>
      <w:pPr>
        <w:pStyle w:val="ListBullet"/>
        <w:spacing w:after="9"/>
      </w:pPr>
      <w:r>
        <w:rPr>
          <w:sz w:val="16"/>
        </w:rPr>
        <w:t>L’exploration peut produire une route inférieure ; l’adoption ne le peut pas. Cette séparation permet la recherche sans abaisser la référence opérationnelle.</w:t>
      </w:r>
    </w:p>
    <w:p>
      <w:pPr>
        <w:spacing w:before="100" w:after="50"/>
      </w:pPr>
      <w:r>
        <w:rPr>
          <w:b/>
          <w:color w:val="2F7DBE"/>
          <w:sz w:val="22"/>
        </w:rPr>
        <w:t>58.4 Calcul multicadre obligatoire</w:t>
      </w:r>
    </w:p>
    <w:p>
      <w:pPr>
        <w:pStyle w:val="ListBullet"/>
        <w:spacing w:after="9"/>
      </w:pPr>
      <w:r>
        <w:rPr>
          <w:sz w:val="16"/>
        </w:rPr>
        <w:t>Six décisions : PASS qualitatif — la dette de transition et les compromis empêchent souvent une dominance immédiate.</w:t>
      </w:r>
    </w:p>
    <w:p>
      <w:pPr>
        <w:pStyle w:val="ListBullet"/>
        <w:spacing w:after="9"/>
      </w:pPr>
      <w:r>
        <w:rPr>
          <w:sz w:val="16"/>
        </w:rPr>
        <w:t>« La nouvelle route ne doit pas avoir une cohérence multicadre inférieure » : PASS comme porte d’adoption robuste ; FAIL si appliquée à toute hypothèse explorée.</w:t>
      </w:r>
    </w:p>
    <w:p>
      <w:pPr>
        <w:pStyle w:val="ListBullet"/>
        <w:spacing w:after="9"/>
      </w:pPr>
      <w:r>
        <w:rPr>
          <w:sz w:val="16"/>
        </w:rPr>
        <w:t>Dominance réelle, marges d’incertitude et trajectoires : NON_MESURÉES sans essais comparatifs préenregistrés.</w:t>
      </w:r>
    </w:p>
    <w:p>
      <w:pPr>
        <w:pStyle w:val="ListBullet"/>
        <w:spacing w:after="9"/>
      </w:pPr>
      <w:r>
        <w:rPr>
          <w:sz w:val="16"/>
        </w:rPr>
        <w:t>Cadre planétaire : obligatoire ; aucune amélioration locale ne domine si elle exporte une régression critique non compensée.</w:t>
      </w:r>
    </w:p>
    <w:p>
      <w:pPr>
        <w:pStyle w:val="ListBullet"/>
        <w:spacing w:after="9"/>
      </w:pPr>
      <w:r>
        <w:rPr>
          <w:sz w:val="16"/>
        </w:rPr>
        <w:t>Correspondance exacte avec le corpus canonique : NON_VÉRIFIÉE dans ce passage.</w:t>
      </w:r>
    </w:p>
    <w:p>
      <w:pPr>
        <w:spacing w:after="20"/>
        <w:jc w:val="center"/>
      </w:pPr>
      <w:r>
        <w:rPr>
          <w:b/>
          <w:color w:val="1F4E79"/>
          <w:sz w:val="18"/>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7"/>
              </w:rPr>
              <w:t>VERROU — Explorer librement ; adopter seulement par dominance multicadre robuste. Comparer les trajectoires complètes sur l’union des cadres, dette de transition incluse. Toute régression, incertitude critique ou dette exportée bloque le remplacement et conserve la frontière des choix.</w:t>
            </w:r>
          </w:p>
        </w:tc>
      </w:tr>
    </w:tbl>
    <w:p>
      <w:pPr>
        <w:pageBreakBefore/>
        <w:spacing w:before="100" w:after="50"/>
      </w:pPr>
      <w:r>
        <w:rPr>
          <w:b/>
          <w:color w:val="2F7DBE"/>
          <w:sz w:val="26"/>
        </w:rPr>
        <w:t>SECTION 59 — Angle unificateur — la dette comme déficit d’atteignabilité</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7"/>
              </w:rPr>
              <w:t>RÉSULTAT — La porte d’entrée la plus simple trouvée est : « qu’est-ce que l’objet peut encore soutenir ou devenir ? » La dette est alors un profil de capacités ou futurs perdus et d’écart vers la meilleure frontière encore atteignable. Compensation, temps et exergie décrivent le chemin.</w:t>
            </w:r>
          </w:p>
        </w:tc>
      </w:tr>
    </w:tbl>
    <w:p>
      <w:pPr>
        <w:spacing w:before="100" w:after="50"/>
      </w:pPr>
      <w:r>
        <w:rPr>
          <w:b/>
          <w:color w:val="2F7DBE"/>
          <w:sz w:val="22"/>
        </w:rPr>
        <w:t>59.1 Passage sur six objets simples</w:t>
      </w:r>
    </w:p>
    <w:tbl>
      <w:tblPr>
        <w:tblStyle w:val="TableGrid"/>
        <w:tblW w:type="auto" w:w="0"/>
        <w:tblLook w:firstColumn="1" w:firstRow="1" w:lastColumn="0" w:lastRow="0" w:noHBand="0" w:noVBand="1" w:val="04A0"/>
      </w:tblPr>
      <w:tblGrid>
        <w:gridCol w:w="2592"/>
        <w:gridCol w:w="2592"/>
        <w:gridCol w:w="2592"/>
        <w:gridCol w:w="2592"/>
      </w:tblGrid>
      <w:tr>
        <w:tc>
          <w:tcPr>
            <w:tcW w:type="dxa" w:w="1512"/>
            <w:shd w:fill="D9EAF7"/>
          </w:tcPr>
          <w:p>
            <w:r>
              <w:rPr>
                <w:b/>
                <w:color w:val="1F4E79"/>
                <w:sz w:val="13"/>
              </w:rPr>
              <w:t>Objet</w:t>
            </w:r>
          </w:p>
        </w:tc>
        <w:tc>
          <w:tcPr>
            <w:tcW w:type="dxa" w:w="2794"/>
            <w:shd w:fill="D9EAF7"/>
          </w:tcPr>
          <w:p>
            <w:r>
              <w:rPr>
                <w:b/>
                <w:color w:val="1F4E79"/>
                <w:sz w:val="13"/>
              </w:rPr>
              <w:t>Question la plus simple</w:t>
            </w:r>
          </w:p>
        </w:tc>
        <w:tc>
          <w:tcPr>
            <w:tcW w:type="dxa" w:w="3082"/>
            <w:shd w:fill="D9EAF7"/>
          </w:tcPr>
          <w:p>
            <w:r>
              <w:rPr>
                <w:b/>
                <w:color w:val="1F4E79"/>
                <w:sz w:val="13"/>
              </w:rPr>
              <w:t>Déficit d’atteignabilité</w:t>
            </w:r>
          </w:p>
        </w:tc>
        <w:tc>
          <w:tcPr>
            <w:tcW w:type="dxa" w:w="2650"/>
            <w:shd w:fill="D9EAF7"/>
          </w:tcPr>
          <w:p>
            <w:r>
              <w:rPr>
                <w:b/>
                <w:color w:val="1F4E79"/>
                <w:sz w:val="13"/>
              </w:rPr>
              <w:t>Ce que l’angle conserve</w:t>
            </w:r>
          </w:p>
        </w:tc>
      </w:tr>
      <w:tr>
        <w:tc>
          <w:tcPr>
            <w:tcW w:type="dxa" w:w="1512"/>
            <w:vAlign w:val="top"/>
          </w:tcPr>
          <w:p>
            <w:r>
              <w:rPr>
                <w:sz w:val="12"/>
              </w:rPr>
              <w:t>Bille déplacée</w:t>
            </w:r>
          </w:p>
        </w:tc>
        <w:tc>
          <w:tcPr>
            <w:tcW w:type="dxa" w:w="2794"/>
            <w:vAlign w:val="top"/>
          </w:tcPr>
          <w:p>
            <w:r>
              <w:rPr>
                <w:sz w:val="12"/>
              </w:rPr>
              <w:t>Peut-elle encore revenir à sa position ?</w:t>
            </w:r>
          </w:p>
        </w:tc>
        <w:tc>
          <w:tcPr>
            <w:tcW w:type="dxa" w:w="3082"/>
            <w:vAlign w:val="top"/>
          </w:tcPr>
          <w:p>
            <w:r>
              <w:rPr>
                <w:sz w:val="12"/>
              </w:rPr>
              <w:t>Oui : état antérieur encore atteignable, dette entièrement résorbable sous action.</w:t>
            </w:r>
          </w:p>
        </w:tc>
        <w:tc>
          <w:tcPr>
            <w:tcW w:type="dxa" w:w="2650"/>
            <w:vAlign w:val="top"/>
          </w:tcPr>
          <w:p>
            <w:r>
              <w:rPr>
                <w:sz w:val="12"/>
              </w:rPr>
              <w:t>Position, chemin, temps et travail m·g·Δh.</w:t>
            </w:r>
          </w:p>
        </w:tc>
      </w:tr>
      <w:tr>
        <w:tc>
          <w:tcPr>
            <w:tcW w:type="dxa" w:w="1512"/>
            <w:vAlign w:val="top"/>
          </w:tcPr>
          <w:p>
            <w:r>
              <w:rPr>
                <w:sz w:val="12"/>
              </w:rPr>
              <w:t>Feuille déchirée</w:t>
            </w:r>
          </w:p>
        </w:tc>
        <w:tc>
          <w:tcPr>
            <w:tcW w:type="dxa" w:w="2794"/>
            <w:vAlign w:val="top"/>
          </w:tcPr>
          <w:p>
            <w:r>
              <w:rPr>
                <w:sz w:val="12"/>
              </w:rPr>
              <w:t>Peut-elle encore redevenir la même feuille ?</w:t>
            </w:r>
          </w:p>
        </w:tc>
        <w:tc>
          <w:tcPr>
            <w:tcW w:type="dxa" w:w="3082"/>
            <w:vAlign w:val="top"/>
          </w:tcPr>
          <w:p>
            <w:r>
              <w:rPr>
                <w:sz w:val="12"/>
              </w:rPr>
              <w:t>Non pour l’intégrité ; oui vers une réparation ou un nouvel usage.</w:t>
            </w:r>
          </w:p>
        </w:tc>
        <w:tc>
          <w:tcPr>
            <w:tcW w:type="dxa" w:w="2650"/>
            <w:vAlign w:val="top"/>
          </w:tcPr>
          <w:p>
            <w:r>
              <w:rPr>
                <w:sz w:val="12"/>
              </w:rPr>
              <w:t>Perte irréversible + meilleure cible postérieure.</w:t>
            </w:r>
          </w:p>
        </w:tc>
      </w:tr>
      <w:tr>
        <w:tc>
          <w:tcPr>
            <w:tcW w:type="dxa" w:w="1512"/>
            <w:vAlign w:val="top"/>
          </w:tcPr>
          <w:p>
            <w:r>
              <w:rPr>
                <w:sz w:val="12"/>
              </w:rPr>
              <w:t>Élastique entaillé</w:t>
            </w:r>
          </w:p>
        </w:tc>
        <w:tc>
          <w:tcPr>
            <w:tcW w:type="dxa" w:w="2794"/>
            <w:vAlign w:val="top"/>
          </w:tcPr>
          <w:p>
            <w:r>
              <w:rPr>
                <w:sz w:val="12"/>
              </w:rPr>
              <w:t>Quelles tensions peut-il encore soutenir ?</w:t>
            </w:r>
          </w:p>
        </w:tc>
        <w:tc>
          <w:tcPr>
            <w:tcW w:type="dxa" w:w="3082"/>
            <w:vAlign w:val="top"/>
          </w:tcPr>
          <w:p>
            <w:r>
              <w:rPr>
                <w:sz w:val="12"/>
              </w:rPr>
              <w:t>Le domaine de charges et de durées se contracte avant la rupture visible.</w:t>
            </w:r>
          </w:p>
        </w:tc>
        <w:tc>
          <w:tcPr>
            <w:tcW w:type="dxa" w:w="2650"/>
            <w:vAlign w:val="top"/>
          </w:tcPr>
          <w:p>
            <w:r>
              <w:rPr>
                <w:sz w:val="12"/>
              </w:rPr>
              <w:t>Robustesse, futurs perdus et dette locale.</w:t>
            </w:r>
          </w:p>
        </w:tc>
      </w:tr>
      <w:tr>
        <w:tc>
          <w:tcPr>
            <w:tcW w:type="dxa" w:w="1512"/>
            <w:vAlign w:val="top"/>
          </w:tcPr>
          <w:p>
            <w:r>
              <w:rPr>
                <w:sz w:val="12"/>
              </w:rPr>
              <w:t>Château Lego</w:t>
            </w:r>
          </w:p>
        </w:tc>
        <w:tc>
          <w:tcPr>
            <w:tcW w:type="dxa" w:w="2794"/>
            <w:vAlign w:val="top"/>
          </w:tcPr>
          <w:p>
            <w:r>
              <w:rPr>
                <w:sz w:val="12"/>
              </w:rPr>
              <w:t>Quels chocs peut-il encore supporter ?</w:t>
            </w:r>
          </w:p>
        </w:tc>
        <w:tc>
          <w:tcPr>
            <w:tcW w:type="dxa" w:w="3082"/>
            <w:vAlign w:val="top"/>
          </w:tcPr>
          <w:p>
            <w:r>
              <w:rPr>
                <w:sz w:val="12"/>
              </w:rPr>
              <w:t>La réponse dépend de la position et des relations entre briques fissurées.</w:t>
            </w:r>
          </w:p>
        </w:tc>
        <w:tc>
          <w:tcPr>
            <w:tcW w:type="dxa" w:w="2650"/>
            <w:vAlign w:val="top"/>
          </w:tcPr>
          <w:p>
            <w:r>
              <w:rPr>
                <w:sz w:val="12"/>
              </w:rPr>
              <w:t>Potentialisation topologique et dette de l’englobant.</w:t>
            </w:r>
          </w:p>
        </w:tc>
      </w:tr>
      <w:tr>
        <w:tc>
          <w:tcPr>
            <w:tcW w:type="dxa" w:w="1512"/>
            <w:vAlign w:val="top"/>
          </w:tcPr>
          <w:p>
            <w:r>
              <w:rPr>
                <w:sz w:val="12"/>
              </w:rPr>
              <w:t>Vitre brisée</w:t>
            </w:r>
          </w:p>
        </w:tc>
        <w:tc>
          <w:tcPr>
            <w:tcW w:type="dxa" w:w="2794"/>
            <w:vAlign w:val="top"/>
          </w:tcPr>
          <w:p>
            <w:r>
              <w:rPr>
                <w:sz w:val="12"/>
              </w:rPr>
              <w:t>Quelle fermeture sûre reste atteignable ?</w:t>
            </w:r>
          </w:p>
        </w:tc>
        <w:tc>
          <w:tcPr>
            <w:tcW w:type="dxa" w:w="3082"/>
            <w:vAlign w:val="top"/>
          </w:tcPr>
          <w:p>
            <w:r>
              <w:rPr>
                <w:sz w:val="12"/>
              </w:rPr>
              <w:t>Film, remplacement ou refonte ouvrent des cibles, temps et exergies différents.</w:t>
            </w:r>
          </w:p>
        </w:tc>
        <w:tc>
          <w:tcPr>
            <w:tcW w:type="dxa" w:w="2650"/>
            <w:vAlign w:val="top"/>
          </w:tcPr>
          <w:p>
            <w:r>
              <w:rPr>
                <w:sz w:val="12"/>
              </w:rPr>
              <w:t>Frontière non dominée et dette de transition.</w:t>
            </w:r>
          </w:p>
        </w:tc>
      </w:tr>
      <w:tr>
        <w:tc>
          <w:tcPr>
            <w:tcW w:type="dxa" w:w="1512"/>
            <w:vAlign w:val="top"/>
          </w:tcPr>
          <w:p>
            <w:r>
              <w:rPr>
                <w:sz w:val="12"/>
              </w:rPr>
              <w:t>Terre après impact</w:t>
            </w:r>
          </w:p>
        </w:tc>
        <w:tc>
          <w:tcPr>
            <w:tcW w:type="dxa" w:w="2794"/>
            <w:vAlign w:val="top"/>
          </w:tcPr>
          <w:p>
            <w:r>
              <w:rPr>
                <w:sz w:val="12"/>
              </w:rPr>
              <w:t>Quelles trajectoires globales restent soutenables ?</w:t>
            </w:r>
          </w:p>
        </w:tc>
        <w:tc>
          <w:tcPr>
            <w:tcW w:type="dxa" w:w="3082"/>
            <w:vAlign w:val="top"/>
          </w:tcPr>
          <w:p>
            <w:r>
              <w:rPr>
                <w:sz w:val="12"/>
              </w:rPr>
              <w:t>L’état antérieur est perdu ; une nouvelle frontière biosphérique doit être trouvée.</w:t>
            </w:r>
          </w:p>
        </w:tc>
        <w:tc>
          <w:tcPr>
            <w:tcW w:type="dxa" w:w="2650"/>
            <w:vAlign w:val="top"/>
          </w:tcPr>
          <w:p>
            <w:r>
              <w:rPr>
                <w:sz w:val="12"/>
              </w:rPr>
              <w:t>Référence E⁰, F†, planète et irréversibilité.</w:t>
            </w:r>
          </w:p>
        </w:tc>
      </w:tr>
    </w:tbl>
    <w:p>
      <w:pPr>
        <w:spacing w:before="100" w:after="50"/>
      </w:pPr>
      <w:r>
        <w:rPr>
          <w:b/>
          <w:color w:val="2F7DBE"/>
          <w:sz w:val="22"/>
        </w:rPr>
        <w:t>59.2 Objet canonique minimal</w:t>
      </w:r>
    </w:p>
    <w:p>
      <w:pPr>
        <w:pStyle w:val="ListBullet"/>
        <w:spacing w:after="9"/>
      </w:pPr>
      <w:r>
        <w:rPr>
          <w:sz w:val="16"/>
        </w:rPr>
        <w:t>Profil historique : capacités ou futurs de référence devenus définitivement inatteignables dans un espace de proxys comparable.</w:t>
      </w:r>
    </w:p>
    <w:p>
      <w:pPr>
        <w:pStyle w:val="ListBullet"/>
        <w:spacing w:after="9"/>
      </w:pPr>
      <w:r>
        <w:rPr>
          <w:sz w:val="16"/>
        </w:rPr>
        <w:t>Profil résorbable : écart de l’état courant à une cible choisie dans la frontière F† des meilleurs états encore atteignables.</w:t>
      </w:r>
    </w:p>
    <w:p>
      <w:pPr>
        <w:pStyle w:val="ListBullet"/>
        <w:spacing w:after="9"/>
      </w:pPr>
      <w:r>
        <w:rPr>
          <w:sz w:val="16"/>
        </w:rPr>
        <w:t>Chemin de compensation : actions et transformations conduisant vers cette cible, avec dette transitoire, temps, exergie détruite et effets supérieurs.</w:t>
      </w:r>
    </w:p>
    <w:p>
      <w:pPr>
        <w:pStyle w:val="ListBullet"/>
        <w:spacing w:after="9"/>
      </w:pPr>
      <w:r>
        <w:rPr>
          <w:sz w:val="16"/>
        </w:rPr>
        <w:t>Si les capacités gagnées et perdues se croisent, le profil reste multicritère ; aucune cardinalité brute ni distance unique n’est présumée.</w:t>
      </w:r>
    </w:p>
    <w:p>
      <w:pPr>
        <w:spacing w:after="20"/>
        <w:jc w:val="center"/>
      </w:pPr>
      <w:r>
        <w:rPr>
          <w:b/>
          <w:color w:val="1F4E79"/>
          <w:sz w:val="19"/>
        </w:rPr>
        <w:t>Dette de C = [pertes irréversibles depuis E⁰ᴄ ; écart résorbable vers F†ᴄ] — pas un scalaire automatique</w:t>
      </w:r>
    </w:p>
    <w:p>
      <w:pPr>
        <w:spacing w:before="100" w:after="50"/>
      </w:pPr>
      <w:r>
        <w:rPr>
          <w:b/>
          <w:color w:val="2F7DBE"/>
          <w:sz w:val="22"/>
        </w:rPr>
        <w:t>59.3 Test de dominance sur l’ancienne route</w:t>
      </w:r>
    </w:p>
    <w:p>
      <w:pPr>
        <w:pStyle w:val="ListBullet"/>
        <w:spacing w:after="9"/>
      </w:pPr>
      <w:r>
        <w:rPr>
          <w:sz w:val="16"/>
        </w:rPr>
        <w:t>Local : conserve identité, état interne, robustesse et scission ; aucune information retirée.</w:t>
      </w:r>
    </w:p>
    <w:p>
      <w:pPr>
        <w:pStyle w:val="ListBullet"/>
        <w:spacing w:after="9"/>
      </w:pPr>
      <w:r>
        <w:rPr>
          <w:sz w:val="16"/>
        </w:rPr>
        <w:t>Relationnel : conserve voisins, topologie et potentialisation par leur effet direct sur les capacités atteignables de l’englobant.</w:t>
      </w:r>
    </w:p>
    <w:p>
      <w:pPr>
        <w:pStyle w:val="ListBullet"/>
        <w:spacing w:after="9"/>
      </w:pPr>
      <w:r>
        <w:rPr>
          <w:sz w:val="16"/>
        </w:rPr>
        <w:t>Supérieur et planète : conserve chaque dette propre induite et la chaîne d’audit ; aucun transfert d’identité.</w:t>
      </w:r>
    </w:p>
    <w:p>
      <w:pPr>
        <w:pStyle w:val="ListBullet"/>
        <w:spacing w:after="9"/>
      </w:pPr>
      <w:r>
        <w:rPr>
          <w:sz w:val="16"/>
        </w:rPr>
        <w:t>Dynamique : conserve temps, exergie, irréversibilité et dette de transition comme propriétés du chemin, sans les confondre avec le déficit.</w:t>
      </w:r>
    </w:p>
    <w:p>
      <w:pPr>
        <w:pStyle w:val="ListBullet"/>
        <w:spacing w:after="9"/>
      </w:pPr>
      <w:r>
        <w:rPr>
          <w:sz w:val="16"/>
        </w:rPr>
        <w:t>Simplicité : remplace plusieurs questions initiales par une seule sans supprimer les sorties ; baisse qualitative de σ, gain quantitatif NON_MESURÉ.</w:t>
      </w:r>
    </w:p>
    <w:p>
      <w:pPr>
        <w:spacing w:before="100" w:after="50"/>
      </w:pPr>
      <w:r>
        <w:rPr>
          <w:b/>
          <w:color w:val="2F7DBE"/>
          <w:sz w:val="22"/>
        </w:rPr>
        <w:t>59.4 Calcul multicadre obligatoire</w:t>
      </w:r>
    </w:p>
    <w:p>
      <w:pPr>
        <w:pStyle w:val="ListBullet"/>
        <w:spacing w:after="9"/>
      </w:pPr>
      <w:r>
        <w:rPr>
          <w:sz w:val="16"/>
        </w:rPr>
        <w:t>Six objets : PASS qualitatif — le déficit d’atteignabilité explique les bornes antérieures sans contradiction détectée.</w:t>
      </w:r>
    </w:p>
    <w:p>
      <w:pPr>
        <w:pStyle w:val="ListBullet"/>
        <w:spacing w:after="9"/>
      </w:pPr>
      <w:r>
        <w:rPr>
          <w:sz w:val="16"/>
        </w:rPr>
        <w:t>Nouvel angle contre route précédente : dominance qualitative provisoire sur simplicité et couverture ; performance empirique = NON_MESURÉE.</w:t>
      </w:r>
    </w:p>
    <w:p>
      <w:pPr>
        <w:pStyle w:val="ListBullet"/>
        <w:spacing w:after="9"/>
      </w:pPr>
      <w:r>
        <w:rPr>
          <w:sz w:val="16"/>
        </w:rPr>
        <w:t>Adoption : PASS comme porte d’entrée explicative ; les définitions opérationnelles précédentes restent les instruments de mesure jusqu’à validation.</w:t>
      </w:r>
    </w:p>
    <w:p>
      <w:pPr>
        <w:pStyle w:val="ListBullet"/>
        <w:spacing w:after="9"/>
      </w:pPr>
      <w:r>
        <w:rPr>
          <w:sz w:val="16"/>
        </w:rPr>
        <w:t>Cadre planétaire : conservé ; aucune capacité terrestre perdue ou exportée n’est effacée.</w:t>
      </w:r>
    </w:p>
    <w:p>
      <w:pPr>
        <w:pStyle w:val="ListBullet"/>
        <w:spacing w:after="9"/>
      </w:pPr>
      <w:r>
        <w:rPr>
          <w:sz w:val="16"/>
        </w:rPr>
        <w:t>Correspondance exacte avec le corpus canonique : NON_VÉRIFIÉE dans ce passage.</w:t>
      </w:r>
    </w:p>
    <w:p>
      <w:pPr>
        <w:spacing w:after="20"/>
        <w:jc w:val="center"/>
      </w:pPr>
      <w:r>
        <w:rPr>
          <w:b/>
          <w:color w:val="1F4E79"/>
          <w:sz w:val="18"/>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7"/>
              </w:rPr>
              <w:t>VERROU — Porte d’entrée : qu’est-ce que l’objet peut encore soutenir ou devenir ? Dette = pertes irréversibles + écart résorbable vers F† ; compensation = chemin ; temps et exergie = projections du chemin. Conserver les profils et tous les cadres, sans score prématuré.</w:t>
            </w:r>
          </w:p>
        </w:tc>
      </w:tr>
    </w:tbl>
    <w:p>
      <w:pPr>
        <w:pageBreakBefore/>
        <w:spacing w:before="100" w:after="50"/>
      </w:pPr>
      <w:r>
        <w:rPr>
          <w:b/>
          <w:color w:val="2F7DBE"/>
          <w:sz w:val="26"/>
        </w:rPr>
        <w:t>SECTION 60 — Audit de recul — dominance multicadre de la route consolidée</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7"/>
              </w:rPr>
              <w:t>RÉSULTAT — Après relecture et corrections rétroactives, aucune régression conceptuelle critique n’est détectée dans les cadres testés. La route consolidée couvre davantage de cas irréversibles avec moins d’ambiguïté. Sa supériorité quantitative et S_global restent NON_MESURÉES.</w:t>
            </w:r>
          </w:p>
        </w:tc>
      </w:tr>
    </w:tbl>
    <w:p>
      <w:pPr>
        <w:spacing w:before="100" w:after="50"/>
      </w:pPr>
      <w:r>
        <w:rPr>
          <w:b/>
          <w:color w:val="2F7DBE"/>
          <w:sz w:val="22"/>
        </w:rPr>
        <w:t>60.1 Comparaison de la route initiale et de la route actuelle</w:t>
      </w:r>
    </w:p>
    <w:tbl>
      <w:tblPr>
        <w:tblStyle w:val="TableGrid"/>
        <w:tblW w:type="auto" w:w="0"/>
        <w:tblLook w:firstColumn="1" w:firstRow="1" w:lastColumn="0" w:lastRow="0" w:noHBand="0" w:noVBand="1" w:val="04A0"/>
      </w:tblPr>
      <w:tblGrid>
        <w:gridCol w:w="2592"/>
        <w:gridCol w:w="2592"/>
        <w:gridCol w:w="2592"/>
        <w:gridCol w:w="2592"/>
      </w:tblGrid>
      <w:tr>
        <w:tc>
          <w:tcPr>
            <w:tcW w:type="dxa" w:w="1930"/>
            <w:shd w:fill="D9EAF7"/>
          </w:tcPr>
          <w:p>
            <w:r>
              <w:rPr>
                <w:b/>
                <w:color w:val="1F4E79"/>
                <w:sz w:val="14"/>
              </w:rPr>
              <w:t>Axe audité</w:t>
            </w:r>
          </w:p>
        </w:tc>
        <w:tc>
          <w:tcPr>
            <w:tcW w:type="dxa" w:w="2736"/>
            <w:shd w:fill="D9EAF7"/>
          </w:tcPr>
          <w:p>
            <w:r>
              <w:rPr>
                <w:b/>
                <w:color w:val="1F4E79"/>
                <w:sz w:val="14"/>
              </w:rPr>
              <w:t>Route antérieure</w:t>
            </w:r>
          </w:p>
        </w:tc>
        <w:tc>
          <w:tcPr>
            <w:tcW w:type="dxa" w:w="3096"/>
            <w:shd w:fill="D9EAF7"/>
          </w:tcPr>
          <w:p>
            <w:r>
              <w:rPr>
                <w:b/>
                <w:color w:val="1F4E79"/>
                <w:sz w:val="14"/>
              </w:rPr>
              <w:t>Route consolidée</w:t>
            </w:r>
          </w:p>
        </w:tc>
        <w:tc>
          <w:tcPr>
            <w:tcW w:type="dxa" w:w="2275"/>
            <w:shd w:fill="D9EAF7"/>
          </w:tcPr>
          <w:p>
            <w:r>
              <w:rPr>
                <w:b/>
                <w:color w:val="1F4E79"/>
                <w:sz w:val="14"/>
              </w:rPr>
              <w:t>Dominance qualitative</w:t>
            </w:r>
          </w:p>
        </w:tc>
      </w:tr>
      <w:tr>
        <w:tc>
          <w:tcPr>
            <w:tcW w:type="dxa" w:w="1930"/>
            <w:vAlign w:val="top"/>
          </w:tcPr>
          <w:p>
            <w:r>
              <w:rPr>
                <w:sz w:val="12"/>
              </w:rPr>
              <w:t>Propriété de la dette</w:t>
            </w:r>
          </w:p>
        </w:tc>
        <w:tc>
          <w:tcPr>
            <w:tcW w:type="dxa" w:w="2736"/>
            <w:vAlign w:val="top"/>
          </w:tcPr>
          <w:p>
            <w:r>
              <w:rPr>
                <w:sz w:val="12"/>
              </w:rPr>
              <w:t>Dette attribuée surtout au cadre supérieur.</w:t>
            </w:r>
          </w:p>
        </w:tc>
        <w:tc>
          <w:tcPr>
            <w:tcW w:type="dxa" w:w="3096"/>
            <w:vAlign w:val="top"/>
          </w:tcPr>
          <w:p>
            <w:r>
              <w:rPr>
                <w:sz w:val="12"/>
              </w:rPr>
              <w:t>Chaque objet affecté porte son propre écart ; dettes distinctes sans copie.</w:t>
            </w:r>
          </w:p>
        </w:tc>
        <w:tc>
          <w:tcPr>
            <w:tcW w:type="dxa" w:w="2275"/>
            <w:vAlign w:val="top"/>
          </w:tcPr>
          <w:p>
            <w:r>
              <w:rPr>
                <w:sz w:val="12"/>
              </w:rPr>
              <w:t>Local ↑ ; relationnel ↑ ; double compte ↓.</w:t>
            </w:r>
          </w:p>
        </w:tc>
      </w:tr>
      <w:tr>
        <w:tc>
          <w:tcPr>
            <w:tcW w:type="dxa" w:w="1930"/>
            <w:vAlign w:val="top"/>
          </w:tcPr>
          <w:p>
            <w:r>
              <w:rPr>
                <w:sz w:val="12"/>
              </w:rPr>
              <w:t>Dette / compensation</w:t>
            </w:r>
          </w:p>
        </w:tc>
        <w:tc>
          <w:tcPr>
            <w:tcW w:type="dxa" w:w="2736"/>
            <w:vAlign w:val="top"/>
          </w:tcPr>
          <w:p>
            <w:r>
              <w:rPr>
                <w:sz w:val="12"/>
              </w:rPr>
              <w:t>Compensation parfois utilisée comme définition de dette.</w:t>
            </w:r>
          </w:p>
        </w:tc>
        <w:tc>
          <w:tcPr>
            <w:tcW w:type="dxa" w:w="3096"/>
            <w:vAlign w:val="top"/>
          </w:tcPr>
          <w:p>
            <w:r>
              <w:rPr>
                <w:sz w:val="12"/>
              </w:rPr>
              <w:t>Dette = profil d’écart ; compensation = chemin d’action.</w:t>
            </w:r>
          </w:p>
        </w:tc>
        <w:tc>
          <w:tcPr>
            <w:tcW w:type="dxa" w:w="2275"/>
            <w:vAlign w:val="top"/>
          </w:tcPr>
          <w:p>
            <w:r>
              <w:rPr>
                <w:sz w:val="12"/>
              </w:rPr>
              <w:t>T contradiction ↓ ; σ ↓.</w:t>
            </w:r>
          </w:p>
        </w:tc>
      </w:tr>
      <w:tr>
        <w:tc>
          <w:tcPr>
            <w:tcW w:type="dxa" w:w="1930"/>
            <w:vAlign w:val="top"/>
          </w:tcPr>
          <w:p>
            <w:r>
              <w:rPr>
                <w:sz w:val="12"/>
              </w:rPr>
              <w:t>Référence</w:t>
            </w:r>
          </w:p>
        </w:tc>
        <w:tc>
          <w:tcPr>
            <w:tcW w:type="dxa" w:w="2736"/>
            <w:vAlign w:val="top"/>
          </w:tcPr>
          <w:p>
            <w:r>
              <w:rPr>
                <w:sz w:val="12"/>
              </w:rPr>
              <w:t>Retour vers l’état antérieur ou équivalent.</w:t>
            </w:r>
          </w:p>
        </w:tc>
        <w:tc>
          <w:tcPr>
            <w:tcW w:type="dxa" w:w="3096"/>
            <w:vAlign w:val="top"/>
          </w:tcPr>
          <w:p>
            <w:r>
              <w:rPr>
                <w:sz w:val="12"/>
              </w:rPr>
              <w:t>E⁰ mesure la perte ; F† fournit la meilleure cible encore atteignable.</w:t>
            </w:r>
          </w:p>
        </w:tc>
        <w:tc>
          <w:tcPr>
            <w:tcW w:type="dxa" w:w="2275"/>
            <w:vAlign w:val="top"/>
          </w:tcPr>
          <w:p>
            <w:r>
              <w:rPr>
                <w:sz w:val="12"/>
              </w:rPr>
              <w:t>Irréversible ↑ ; faux infini ↓.</w:t>
            </w:r>
          </w:p>
        </w:tc>
      </w:tr>
      <w:tr>
        <w:tc>
          <w:tcPr>
            <w:tcW w:type="dxa" w:w="1930"/>
            <w:vAlign w:val="top"/>
          </w:tcPr>
          <w:p>
            <w:r>
              <w:rPr>
                <w:sz w:val="12"/>
              </w:rPr>
              <w:t>Cadres</w:t>
            </w:r>
          </w:p>
        </w:tc>
        <w:tc>
          <w:tcPr>
            <w:tcW w:type="dxa" w:w="2736"/>
            <w:vAlign w:val="top"/>
          </w:tcPr>
          <w:p>
            <w:r>
              <w:rPr>
                <w:sz w:val="12"/>
              </w:rPr>
              <w:t>Davantage de cadres supposés toujours plus fins.</w:t>
            </w:r>
          </w:p>
        </w:tc>
        <w:tc>
          <w:tcPr>
            <w:tcW w:type="dxa" w:w="3096"/>
            <w:vAlign w:val="top"/>
          </w:tcPr>
          <w:p>
            <w:r>
              <w:rPr>
                <w:sz w:val="12"/>
              </w:rPr>
              <w:t>Noyau causal minimal pour prédire ; chaîne complète pour auditer.</w:t>
            </w:r>
          </w:p>
        </w:tc>
        <w:tc>
          <w:tcPr>
            <w:tcW w:type="dxa" w:w="2275"/>
            <w:vAlign w:val="top"/>
          </w:tcPr>
          <w:p>
            <w:r>
              <w:rPr>
                <w:sz w:val="12"/>
              </w:rPr>
              <w:t>Couverture = ; complexité ↓.</w:t>
            </w:r>
          </w:p>
        </w:tc>
      </w:tr>
      <w:tr>
        <w:tc>
          <w:tcPr>
            <w:tcW w:type="dxa" w:w="1930"/>
            <w:vAlign w:val="top"/>
          </w:tcPr>
          <w:p>
            <w:r>
              <w:rPr>
                <w:sz w:val="12"/>
              </w:rPr>
              <w:t>Robustesse</w:t>
            </w:r>
          </w:p>
        </w:tc>
        <w:tc>
          <w:tcPr>
            <w:tcW w:type="dxa" w:w="2736"/>
            <w:vAlign w:val="top"/>
          </w:tcPr>
          <w:p>
            <w:r>
              <w:rPr>
                <w:sz w:val="12"/>
              </w:rPr>
              <w:t>Dette surtout visible après effet ou scission.</w:t>
            </w:r>
          </w:p>
        </w:tc>
        <w:tc>
          <w:tcPr>
            <w:tcW w:type="dxa" w:w="3096"/>
            <w:vAlign w:val="top"/>
          </w:tcPr>
          <w:p>
            <w:r>
              <w:rPr>
                <w:sz w:val="12"/>
              </w:rPr>
              <w:t>Futurs admissibles contractés et dette supérieure avant casse.</w:t>
            </w:r>
          </w:p>
        </w:tc>
        <w:tc>
          <w:tcPr>
            <w:tcW w:type="dxa" w:w="2275"/>
            <w:vAlign w:val="top"/>
          </w:tcPr>
          <w:p>
            <w:r>
              <w:rPr>
                <w:sz w:val="12"/>
              </w:rPr>
              <w:t>Détection précoce ↑.</w:t>
            </w:r>
          </w:p>
        </w:tc>
      </w:tr>
      <w:tr>
        <w:tc>
          <w:tcPr>
            <w:tcW w:type="dxa" w:w="1930"/>
            <w:vAlign w:val="top"/>
          </w:tcPr>
          <w:p>
            <w:r>
              <w:rPr>
                <w:sz w:val="12"/>
              </w:rPr>
              <w:t>Topologie</w:t>
            </w:r>
          </w:p>
        </w:tc>
        <w:tc>
          <w:tcPr>
            <w:tcW w:type="dxa" w:w="2736"/>
            <w:vAlign w:val="top"/>
          </w:tcPr>
          <w:p>
            <w:r>
              <w:rPr>
                <w:sz w:val="12"/>
              </w:rPr>
              <w:t>Accumulation locale pouvant suggérer une somme.</w:t>
            </w:r>
          </w:p>
        </w:tc>
        <w:tc>
          <w:tcPr>
            <w:tcW w:type="dxa" w:w="3096"/>
            <w:vAlign w:val="top"/>
          </w:tcPr>
          <w:p>
            <w:r>
              <w:rPr>
                <w:sz w:val="12"/>
              </w:rPr>
              <w:t>Potentialisation relationnelle : position, liaison, charge ; aucune additivité présumée.</w:t>
            </w:r>
          </w:p>
        </w:tc>
        <w:tc>
          <w:tcPr>
            <w:tcW w:type="dxa" w:w="2275"/>
            <w:vAlign w:val="top"/>
          </w:tcPr>
          <w:p>
            <w:r>
              <w:rPr>
                <w:sz w:val="12"/>
              </w:rPr>
              <w:t>Causalité ↑ ; fausse somme ↓.</w:t>
            </w:r>
          </w:p>
        </w:tc>
      </w:tr>
      <w:tr>
        <w:tc>
          <w:tcPr>
            <w:tcW w:type="dxa" w:w="1930"/>
            <w:vAlign w:val="top"/>
          </w:tcPr>
          <w:p>
            <w:r>
              <w:rPr>
                <w:sz w:val="12"/>
              </w:rPr>
              <w:t>Temps et énergie</w:t>
            </w:r>
          </w:p>
        </w:tc>
        <w:tc>
          <w:tcPr>
            <w:tcW w:type="dxa" w:w="2736"/>
            <w:vAlign w:val="top"/>
          </w:tcPr>
          <w:p>
            <w:r>
              <w:rPr>
                <w:sz w:val="12"/>
              </w:rPr>
              <w:t>Temps de compensation comme axe principal.</w:t>
            </w:r>
          </w:p>
        </w:tc>
        <w:tc>
          <w:tcPr>
            <w:tcW w:type="dxa" w:w="3096"/>
            <w:vAlign w:val="top"/>
          </w:tcPr>
          <w:p>
            <w:r>
              <w:rPr>
                <w:sz w:val="12"/>
              </w:rPr>
              <w:t>Temps, exergie et irréversibilité séparés ; frontière et processus préfixés.</w:t>
            </w:r>
          </w:p>
        </w:tc>
        <w:tc>
          <w:tcPr>
            <w:tcW w:type="dxa" w:w="2275"/>
            <w:vAlign w:val="top"/>
          </w:tcPr>
          <w:p>
            <w:r>
              <w:rPr>
                <w:sz w:val="12"/>
              </w:rPr>
              <w:t>Thermodynamique ↑ ; scalarisation ↓.</w:t>
            </w:r>
          </w:p>
        </w:tc>
      </w:tr>
      <w:tr>
        <w:tc>
          <w:tcPr>
            <w:tcW w:type="dxa" w:w="1930"/>
            <w:vAlign w:val="top"/>
          </w:tcPr>
          <w:p>
            <w:r>
              <w:rPr>
                <w:sz w:val="12"/>
              </w:rPr>
              <w:t>Choix de route</w:t>
            </w:r>
          </w:p>
        </w:tc>
        <w:tc>
          <w:tcPr>
            <w:tcW w:type="dxa" w:w="2736"/>
            <w:vAlign w:val="top"/>
          </w:tcPr>
          <w:p>
            <w:r>
              <w:rPr>
                <w:sz w:val="12"/>
              </w:rPr>
              <w:t>Minimum de dette sans porte de remplacement complète.</w:t>
            </w:r>
          </w:p>
        </w:tc>
        <w:tc>
          <w:tcPr>
            <w:tcW w:type="dxa" w:w="3096"/>
            <w:vAlign w:val="top"/>
          </w:tcPr>
          <w:p>
            <w:r>
              <w:rPr>
                <w:sz w:val="12"/>
              </w:rPr>
              <w:t>Dominance multicadre sur trajectoire, transition et cadres unifiés.</w:t>
            </w:r>
          </w:p>
        </w:tc>
        <w:tc>
          <w:tcPr>
            <w:tcW w:type="dxa" w:w="2275"/>
            <w:vAlign w:val="top"/>
          </w:tcPr>
          <w:p>
            <w:r>
              <w:rPr>
                <w:sz w:val="12"/>
              </w:rPr>
              <w:t>Non-régression ↑.</w:t>
            </w:r>
          </w:p>
        </w:tc>
      </w:tr>
      <w:tr>
        <w:tc>
          <w:tcPr>
            <w:tcW w:type="dxa" w:w="1930"/>
            <w:vAlign w:val="top"/>
          </w:tcPr>
          <w:p>
            <w:r>
              <w:rPr>
                <w:sz w:val="12"/>
              </w:rPr>
              <w:t>Angle d’entrée</w:t>
            </w:r>
          </w:p>
        </w:tc>
        <w:tc>
          <w:tcPr>
            <w:tcW w:type="dxa" w:w="2736"/>
            <w:vAlign w:val="top"/>
          </w:tcPr>
          <w:p>
            <w:r>
              <w:rPr>
                <w:sz w:val="12"/>
              </w:rPr>
              <w:t>Plusieurs définitions abordées successivement.</w:t>
            </w:r>
          </w:p>
        </w:tc>
        <w:tc>
          <w:tcPr>
            <w:tcW w:type="dxa" w:w="3096"/>
            <w:vAlign w:val="top"/>
          </w:tcPr>
          <w:p>
            <w:r>
              <w:rPr>
                <w:sz w:val="12"/>
              </w:rPr>
              <w:t>Question unique : que peut encore soutenir ou devenir l’objet ?</w:t>
            </w:r>
          </w:p>
        </w:tc>
        <w:tc>
          <w:tcPr>
            <w:tcW w:type="dxa" w:w="2275"/>
            <w:vAlign w:val="top"/>
          </w:tcPr>
          <w:p>
            <w:r>
              <w:rPr>
                <w:sz w:val="12"/>
              </w:rPr>
              <w:t>Simplicité ↑ ; mesure =.</w:t>
            </w:r>
          </w:p>
        </w:tc>
      </w:tr>
    </w:tbl>
    <w:p>
      <w:pPr>
        <w:spacing w:before="100" w:after="50"/>
      </w:pPr>
      <w:r>
        <w:rPr>
          <w:b/>
          <w:color w:val="2F7DBE"/>
          <w:sz w:val="22"/>
        </w:rPr>
        <w:t>60.2 Calcul multicadre de la consolidation</w:t>
      </w:r>
    </w:p>
    <w:p>
      <w:pPr>
        <w:pStyle w:val="ListBullet"/>
        <w:spacing w:after="9"/>
      </w:pPr>
      <w:r>
        <w:rPr>
          <w:sz w:val="16"/>
        </w:rPr>
        <w:t>Local : PASS qualitatif — identité, dette interne, robustesse et scission sont conservées et mieux distinguées.</w:t>
      </w:r>
    </w:p>
    <w:p>
      <w:pPr>
        <w:pStyle w:val="ListBullet"/>
        <w:spacing w:after="9"/>
      </w:pPr>
      <w:r>
        <w:rPr>
          <w:sz w:val="16"/>
        </w:rPr>
        <w:t>Voisins et premier englobant : PASS — topologie, potentialisation et dette propre de l’ensemble sont explicites.</w:t>
      </w:r>
    </w:p>
    <w:p>
      <w:pPr>
        <w:pStyle w:val="ListBullet"/>
        <w:spacing w:after="9"/>
      </w:pPr>
      <w:r>
        <w:rPr>
          <w:sz w:val="16"/>
        </w:rPr>
        <w:t>Cadres supérieurs : PASS structurel — transformation causale sans transfert d’identité, provenance conservée.</w:t>
      </w:r>
    </w:p>
    <w:p>
      <w:pPr>
        <w:pStyle w:val="ListBullet"/>
        <w:spacing w:after="9"/>
      </w:pPr>
      <w:r>
        <w:rPr>
          <w:sz w:val="16"/>
        </w:rPr>
        <w:t>Temps, exergie et irréversibilité : PASS conceptuel ; quantités et comparaisons réelles = NON_MESURÉES.</w:t>
      </w:r>
    </w:p>
    <w:p>
      <w:pPr>
        <w:pStyle w:val="ListBullet"/>
        <w:spacing w:after="9"/>
      </w:pPr>
      <w:r>
        <w:rPr>
          <w:sz w:val="16"/>
        </w:rPr>
        <w:t>Planète : PASS comme terminal d’audit terrestre ; bilan matériel, énergétique et exergétique réel = NON_MESURÉ.</w:t>
      </w:r>
    </w:p>
    <w:p>
      <w:pPr>
        <w:pStyle w:val="ListBullet"/>
        <w:spacing w:after="9"/>
      </w:pPr>
      <w:r>
        <w:rPr>
          <w:sz w:val="16"/>
        </w:rPr>
        <w:t>Équation : forme canonique conservée S = (β × ΔΦ)/(1 + T + σ) ; proxys non calibrés, donc S_global = NON_MESURÉ.</w:t>
      </w:r>
    </w:p>
    <w:p>
      <w:pPr>
        <w:spacing w:before="100" w:after="50"/>
      </w:pPr>
      <w:r>
        <w:rPr>
          <w:b/>
          <w:color w:val="2F7DBE"/>
          <w:sz w:val="22"/>
        </w:rPr>
        <w:t>60.3 Bornes qui empêchent encore toute proclamation</w:t>
      </w:r>
    </w:p>
    <w:p>
      <w:pPr>
        <w:pStyle w:val="ListBullet"/>
        <w:spacing w:after="9"/>
      </w:pPr>
      <w:r>
        <w:rPr>
          <w:sz w:val="16"/>
        </w:rPr>
        <w:t>Aucune métrique validée ne compare encore les ensembles de capacités avant/après lorsque l’identité de l’objet change.</w:t>
      </w:r>
    </w:p>
    <w:p>
      <w:pPr>
        <w:pStyle w:val="ListBullet"/>
        <w:spacing w:after="9"/>
      </w:pPr>
      <w:r>
        <w:rPr>
          <w:sz w:val="16"/>
        </w:rPr>
        <w:t>La frontière F† peut contenir plusieurs cibles non dominées ; aucun choix unique sans poids normatifs explicites.</w:t>
      </w:r>
    </w:p>
    <w:p>
      <w:pPr>
        <w:pStyle w:val="ListBullet"/>
        <w:spacing w:after="9"/>
      </w:pPr>
      <w:r>
        <w:rPr>
          <w:sz w:val="16"/>
        </w:rPr>
        <w:t>Les opérateurs de transformation causale entre cadres, les incertitudes et les seuils restent à instrumenter.</w:t>
      </w:r>
    </w:p>
    <w:p>
      <w:pPr>
        <w:pStyle w:val="ListBullet"/>
        <w:spacing w:after="9"/>
      </w:pPr>
      <w:r>
        <w:rPr>
          <w:sz w:val="16"/>
        </w:rPr>
        <w:t>La supériorité empirique du filtre négatif, du protocole et de l’angle d’atteignabilité exige des essais comparatifs préenregistrés.</w:t>
      </w:r>
    </w:p>
    <w:p>
      <w:pPr>
        <w:pStyle w:val="ListBullet"/>
        <w:spacing w:after="9"/>
      </w:pPr>
      <w:r>
        <w:rPr>
          <w:sz w:val="16"/>
        </w:rPr>
        <w:t>La correspondance exacte avec le corpus canonique et le SOTA externe reste NON_VÉRIFIÉE dans cette passe autonome.</w:t>
      </w:r>
    </w:p>
    <w:p>
      <w:pPr>
        <w:spacing w:before="100" w:after="50"/>
      </w:pPr>
      <w:r>
        <w:rPr>
          <w:b/>
          <w:color w:val="2F7DBE"/>
          <w:sz w:val="22"/>
        </w:rPr>
        <w:t>60.4 Verdict d’adoption</w:t>
      </w:r>
    </w:p>
    <w:p>
      <w:pPr>
        <w:pStyle w:val="ListBullet"/>
        <w:spacing w:after="9"/>
      </w:pPr>
      <w:r>
        <w:rPr>
          <w:sz w:val="16"/>
        </w:rPr>
        <w:t>Route consolidée : ADOPTÉE comme cadre conceptuel et protocole de travail, car aucune régression qualitative critique n’a été détectée sur les axes audités.</w:t>
      </w:r>
    </w:p>
    <w:p>
      <w:pPr>
        <w:pStyle w:val="ListBullet"/>
        <w:spacing w:after="9"/>
      </w:pPr>
      <w:r>
        <w:rPr>
          <w:sz w:val="16"/>
        </w:rPr>
        <w:t>Angle d’atteignabilité : ADOPTÉ comme porte explicative, mais NON comme nouveau score ou substitut aux mesures existantes.</w:t>
      </w:r>
    </w:p>
    <w:p>
      <w:pPr>
        <w:pStyle w:val="ListBullet"/>
        <w:spacing w:after="9"/>
      </w:pPr>
      <w:r>
        <w:rPr>
          <w:sz w:val="16"/>
        </w:rPr>
        <w:t>Toute prochaine correction devra comparer sa trajectoire complète à cette route et démontrer une dominance multicadre robuste.</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7"/>
              </w:rPr>
              <w:t>VERROU — L’augmentation générale de cohérence n’est jamais une moyenne. Elle exige : aucun cadre critique dégradé, aucune dette de transition cachée, aucune perte irréversible effacée, au moins un gain démontré et tous les NON_MESURÉS conservés.</w:t>
            </w:r>
          </w:p>
        </w:tc>
      </w:tr>
    </w:tbl>
    <w:p>
      <w:pPr>
        <w:pageBreakBefore/>
        <w:spacing w:before="100" w:after="50"/>
      </w:pPr>
      <w:r>
        <w:rPr>
          <w:b/>
          <w:color w:val="2F7DBE"/>
          <w:sz w:val="26"/>
        </w:rPr>
        <w:t>SECTION 61 — Augmenter la cohérence sans rigidifier — viabilité avant maximum instantané</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7"/>
              </w:rPr>
              <w:t>RÉSULTAT — Augmenter la cohérence générale ne signifie pas maximiser l’ordre, supprimer toute tension ou pousser S instantané vers un maximum. La route cohérente préserve les invariants et le plus grand domaine de futurs viables dans tous les cadres, avec les marges nécessaires.</w:t>
            </w:r>
          </w:p>
        </w:tc>
      </w:tr>
    </w:tbl>
    <w:p>
      <w:pPr>
        <w:spacing w:before="100" w:after="50"/>
      </w:pPr>
      <w:r>
        <w:rPr>
          <w:b/>
          <w:color w:val="2F7DBE"/>
          <w:sz w:val="22"/>
        </w:rPr>
        <w:t>61.1 Passage sur six objets simples</w:t>
      </w:r>
    </w:p>
    <w:tbl>
      <w:tblPr>
        <w:tblStyle w:val="TableGrid"/>
        <w:tblW w:type="auto" w:w="0"/>
        <w:tblLook w:firstColumn="1" w:firstRow="1" w:lastColumn="0" w:lastRow="0" w:noHBand="0" w:noVBand="1" w:val="04A0"/>
      </w:tblPr>
      <w:tblGrid>
        <w:gridCol w:w="2592"/>
        <w:gridCol w:w="2592"/>
        <w:gridCol w:w="2592"/>
        <w:gridCol w:w="2592"/>
      </w:tblGrid>
      <w:tr>
        <w:tc>
          <w:tcPr>
            <w:tcW w:type="dxa" w:w="1512"/>
            <w:shd w:fill="D9EAF7"/>
          </w:tcPr>
          <w:p>
            <w:r>
              <w:rPr>
                <w:b/>
                <w:color w:val="1F4E79"/>
                <w:sz w:val="13"/>
              </w:rPr>
              <w:t>Objet</w:t>
            </w:r>
          </w:p>
        </w:tc>
        <w:tc>
          <w:tcPr>
            <w:tcW w:type="dxa" w:w="2794"/>
            <w:shd w:fill="D9EAF7"/>
          </w:tcPr>
          <w:p>
            <w:r>
              <w:rPr>
                <w:b/>
                <w:color w:val="1F4E79"/>
                <w:sz w:val="13"/>
              </w:rPr>
              <w:t>Maximum apparent</w:t>
            </w:r>
          </w:p>
        </w:tc>
        <w:tc>
          <w:tcPr>
            <w:tcW w:type="dxa" w:w="3067"/>
            <w:shd w:fill="D9EAF7"/>
          </w:tcPr>
          <w:p>
            <w:r>
              <w:rPr>
                <w:b/>
                <w:color w:val="1F4E79"/>
                <w:sz w:val="13"/>
              </w:rPr>
              <w:t>Pourquoi il échoue</w:t>
            </w:r>
          </w:p>
        </w:tc>
        <w:tc>
          <w:tcPr>
            <w:tcW w:type="dxa" w:w="2664"/>
            <w:shd w:fill="D9EAF7"/>
          </w:tcPr>
          <w:p>
            <w:r>
              <w:rPr>
                <w:b/>
                <w:color w:val="1F4E79"/>
                <w:sz w:val="13"/>
              </w:rPr>
              <w:t>Cible cohérente</w:t>
            </w:r>
          </w:p>
        </w:tc>
      </w:tr>
      <w:tr>
        <w:tc>
          <w:tcPr>
            <w:tcW w:type="dxa" w:w="1512"/>
            <w:vAlign w:val="top"/>
          </w:tcPr>
          <w:p>
            <w:r>
              <w:rPr>
                <w:sz w:val="12"/>
              </w:rPr>
              <w:t>Élastique</w:t>
            </w:r>
          </w:p>
        </w:tc>
        <w:tc>
          <w:tcPr>
            <w:tcW w:type="dxa" w:w="2794"/>
            <w:vAlign w:val="top"/>
          </w:tcPr>
          <w:p>
            <w:r>
              <w:rPr>
                <w:sz w:val="12"/>
              </w:rPr>
              <w:t>Tension maximale, aucune marge.</w:t>
            </w:r>
          </w:p>
        </w:tc>
        <w:tc>
          <w:tcPr>
            <w:tcW w:type="dxa" w:w="3067"/>
            <w:vAlign w:val="top"/>
          </w:tcPr>
          <w:p>
            <w:r>
              <w:rPr>
                <w:sz w:val="12"/>
              </w:rPr>
              <w:t>La moindre perturbation provoque allongement permanent ou rupture.</w:t>
            </w:r>
          </w:p>
        </w:tc>
        <w:tc>
          <w:tcPr>
            <w:tcW w:type="dxa" w:w="2664"/>
            <w:vAlign w:val="top"/>
          </w:tcPr>
          <w:p>
            <w:r>
              <w:rPr>
                <w:sz w:val="12"/>
              </w:rPr>
              <w:t>Tension utile avec réserve et retour admissible.</w:t>
            </w:r>
          </w:p>
        </w:tc>
      </w:tr>
      <w:tr>
        <w:tc>
          <w:tcPr>
            <w:tcW w:type="dxa" w:w="1512"/>
            <w:vAlign w:val="top"/>
          </w:tcPr>
          <w:p>
            <w:r>
              <w:rPr>
                <w:sz w:val="12"/>
              </w:rPr>
              <w:t>Roulement</w:t>
            </w:r>
          </w:p>
        </w:tc>
        <w:tc>
          <w:tcPr>
            <w:tcW w:type="dxa" w:w="2794"/>
            <w:vAlign w:val="top"/>
          </w:tcPr>
          <w:p>
            <w:r>
              <w:rPr>
                <w:sz w:val="12"/>
              </w:rPr>
              <w:t>Jeu nul et contact parfaitement serré.</w:t>
            </w:r>
          </w:p>
        </w:tc>
        <w:tc>
          <w:tcPr>
            <w:tcW w:type="dxa" w:w="3067"/>
            <w:vAlign w:val="top"/>
          </w:tcPr>
          <w:p>
            <w:r>
              <w:rPr>
                <w:sz w:val="12"/>
              </w:rPr>
              <w:t>Dilatation, défaut ou lubrification insuffisante peuvent bloquer et chauffer.</w:t>
            </w:r>
          </w:p>
        </w:tc>
        <w:tc>
          <w:tcPr>
            <w:tcW w:type="dxa" w:w="2664"/>
            <w:vAlign w:val="top"/>
          </w:tcPr>
          <w:p>
            <w:r>
              <w:rPr>
                <w:sz w:val="12"/>
              </w:rPr>
              <w:t>Jeu fonctionnel dans une plage calibrée.</w:t>
            </w:r>
          </w:p>
        </w:tc>
      </w:tr>
      <w:tr>
        <w:tc>
          <w:tcPr>
            <w:tcW w:type="dxa" w:w="1512"/>
            <w:vAlign w:val="top"/>
          </w:tcPr>
          <w:p>
            <w:r>
              <w:rPr>
                <w:sz w:val="12"/>
              </w:rPr>
              <w:t>Pont / règle</w:t>
            </w:r>
          </w:p>
        </w:tc>
        <w:tc>
          <w:tcPr>
            <w:tcW w:type="dxa" w:w="2794"/>
            <w:vAlign w:val="top"/>
          </w:tcPr>
          <w:p>
            <w:r>
              <w:rPr>
                <w:sz w:val="12"/>
              </w:rPr>
              <w:t>Rigidité absolue sans flexion.</w:t>
            </w:r>
          </w:p>
        </w:tc>
        <w:tc>
          <w:tcPr>
            <w:tcW w:type="dxa" w:w="3067"/>
            <w:vAlign w:val="top"/>
          </w:tcPr>
          <w:p>
            <w:r>
              <w:rPr>
                <w:sz w:val="12"/>
              </w:rPr>
              <w:t>Les charges et variations thermiques concentrent les contraintes.</w:t>
            </w:r>
          </w:p>
        </w:tc>
        <w:tc>
          <w:tcPr>
            <w:tcW w:type="dxa" w:w="2664"/>
            <w:vAlign w:val="top"/>
          </w:tcPr>
          <w:p>
            <w:r>
              <w:rPr>
                <w:sz w:val="12"/>
              </w:rPr>
              <w:t>Déformation réversible bornée et dissipation contrôlée.</w:t>
            </w:r>
          </w:p>
        </w:tc>
      </w:tr>
      <w:tr>
        <w:tc>
          <w:tcPr>
            <w:tcW w:type="dxa" w:w="1512"/>
            <w:vAlign w:val="top"/>
          </w:tcPr>
          <w:p>
            <w:r>
              <w:rPr>
                <w:sz w:val="12"/>
              </w:rPr>
              <w:t>Batterie</w:t>
            </w:r>
          </w:p>
        </w:tc>
        <w:tc>
          <w:tcPr>
            <w:tcW w:type="dxa" w:w="2794"/>
            <w:vAlign w:val="top"/>
          </w:tcPr>
          <w:p>
            <w:r>
              <w:rPr>
                <w:sz w:val="12"/>
              </w:rPr>
              <w:t>Charge maintenue au maximum.</w:t>
            </w:r>
          </w:p>
        </w:tc>
        <w:tc>
          <w:tcPr>
            <w:tcW w:type="dxa" w:w="3067"/>
            <w:vAlign w:val="top"/>
          </w:tcPr>
          <w:p>
            <w:r>
              <w:rPr>
                <w:sz w:val="12"/>
              </w:rPr>
              <w:t>Marge thermique et durée de vie peuvent diminuer ; risque supérieur.</w:t>
            </w:r>
          </w:p>
        </w:tc>
        <w:tc>
          <w:tcPr>
            <w:tcW w:type="dxa" w:w="2664"/>
            <w:vAlign w:val="top"/>
          </w:tcPr>
          <w:p>
            <w:r>
              <w:rPr>
                <w:sz w:val="12"/>
              </w:rPr>
              <w:t>Plage de charge adaptée à l’usage, à la sécurité et au vieillissement.</w:t>
            </w:r>
          </w:p>
        </w:tc>
      </w:tr>
      <w:tr>
        <w:tc>
          <w:tcPr>
            <w:tcW w:type="dxa" w:w="1512"/>
            <w:vAlign w:val="top"/>
          </w:tcPr>
          <w:p>
            <w:r>
              <w:rPr>
                <w:sz w:val="12"/>
              </w:rPr>
              <w:t>Thermostat</w:t>
            </w:r>
          </w:p>
        </w:tc>
        <w:tc>
          <w:tcPr>
            <w:tcW w:type="dxa" w:w="2794"/>
            <w:vAlign w:val="top"/>
          </w:tcPr>
          <w:p>
            <w:r>
              <w:rPr>
                <w:sz w:val="12"/>
              </w:rPr>
              <w:t>Température exactement fixe, aucune tolérance.</w:t>
            </w:r>
          </w:p>
        </w:tc>
        <w:tc>
          <w:tcPr>
            <w:tcW w:type="dxa" w:w="3067"/>
            <w:vAlign w:val="top"/>
          </w:tcPr>
          <w:p>
            <w:r>
              <w:rPr>
                <w:sz w:val="12"/>
              </w:rPr>
              <w:t>Commande incessante, énergie élevée et usure sans bénéfice d’usage.</w:t>
            </w:r>
          </w:p>
        </w:tc>
        <w:tc>
          <w:tcPr>
            <w:tcW w:type="dxa" w:w="2664"/>
            <w:vAlign w:val="top"/>
          </w:tcPr>
          <w:p>
            <w:r>
              <w:rPr>
                <w:sz w:val="12"/>
              </w:rPr>
              <w:t>Bande admissible stable avec hystérésis mesurée.</w:t>
            </w:r>
          </w:p>
        </w:tc>
      </w:tr>
      <w:tr>
        <w:tc>
          <w:tcPr>
            <w:tcW w:type="dxa" w:w="1512"/>
            <w:vAlign w:val="top"/>
          </w:tcPr>
          <w:p>
            <w:r>
              <w:rPr>
                <w:sz w:val="12"/>
              </w:rPr>
              <w:t>Filet</w:t>
            </w:r>
          </w:p>
        </w:tc>
        <w:tc>
          <w:tcPr>
            <w:tcW w:type="dxa" w:w="2794"/>
            <w:vAlign w:val="top"/>
          </w:tcPr>
          <w:p>
            <w:r>
              <w:rPr>
                <w:sz w:val="12"/>
              </w:rPr>
              <w:t>Mailles totalement rigides.</w:t>
            </w:r>
          </w:p>
        </w:tc>
        <w:tc>
          <w:tcPr>
            <w:tcW w:type="dxa" w:w="3067"/>
            <w:vAlign w:val="top"/>
          </w:tcPr>
          <w:p>
            <w:r>
              <w:rPr>
                <w:sz w:val="12"/>
              </w:rPr>
              <w:t>Un choc se concentre au lieu d’être redistribué ; rupture locale facilitée.</w:t>
            </w:r>
          </w:p>
        </w:tc>
        <w:tc>
          <w:tcPr>
            <w:tcW w:type="dxa" w:w="2664"/>
            <w:vAlign w:val="top"/>
          </w:tcPr>
          <w:p>
            <w:r>
              <w:rPr>
                <w:sz w:val="12"/>
              </w:rPr>
              <w:t>Souplesse et redondance qui répartissent la charge.</w:t>
            </w:r>
          </w:p>
        </w:tc>
      </w:tr>
    </w:tbl>
    <w:p>
      <w:pPr>
        <w:spacing w:before="100" w:after="50"/>
      </w:pPr>
      <w:r>
        <w:rPr>
          <w:b/>
          <w:color w:val="2F7DBE"/>
          <w:sz w:val="22"/>
        </w:rPr>
        <w:t>61.2 La cohérence utile est une viabilité avec marge</w:t>
      </w:r>
    </w:p>
    <w:p>
      <w:pPr>
        <w:pStyle w:val="ListBullet"/>
        <w:spacing w:after="9"/>
      </w:pPr>
      <w:r>
        <w:rPr>
          <w:sz w:val="16"/>
        </w:rPr>
        <w:t>Une tension peut être fonctionnelle ; un bruit peut signaler une variation réelle ; une redondance ou une souplesse peut augmenter la robustesse.</w:t>
      </w:r>
    </w:p>
    <w:p>
      <w:pPr>
        <w:pStyle w:val="ListBullet"/>
        <w:spacing w:after="9"/>
      </w:pPr>
      <w:r>
        <w:rPr>
          <w:sz w:val="16"/>
        </w:rPr>
        <w:t>La dette apparaît quand les marges, les capacités ou les futurs admissibles se contractent par rapport à E⁰ ou à la meilleure frontière F†, pas quand toute variation existe.</w:t>
      </w:r>
    </w:p>
    <w:p>
      <w:pPr>
        <w:pStyle w:val="ListBullet"/>
        <w:spacing w:after="9"/>
      </w:pPr>
      <w:r>
        <w:rPr>
          <w:sz w:val="16"/>
        </w:rPr>
        <w:t>Maximiser un proxy isolé peut déplacer la dette vers la durée, l’énergie, l’usure, les voisins ou la planète. Le veto multicadre reste prioritaire.</w:t>
      </w:r>
    </w:p>
    <w:p>
      <w:pPr>
        <w:pStyle w:val="ListBullet"/>
        <w:spacing w:after="9"/>
      </w:pPr>
      <w:r>
        <w:rPr>
          <w:sz w:val="16"/>
        </w:rPr>
        <w:t>F† doit donc contenir les états viables non dominés avec réserves explicites ; elle n’est pas le point d’ordre maximal ni un S maximal non calibré.</w:t>
      </w:r>
    </w:p>
    <w:p>
      <w:pPr>
        <w:spacing w:before="100" w:after="50"/>
      </w:pPr>
      <w:r>
        <w:rPr>
          <w:b/>
          <w:color w:val="2F7DBE"/>
          <w:sz w:val="22"/>
        </w:rPr>
        <w:t>61.3 Interprétation correcte de l’augmentation générale</w:t>
      </w:r>
    </w:p>
    <w:p>
      <w:pPr>
        <w:pStyle w:val="ListBullet"/>
        <w:spacing w:after="9"/>
      </w:pPr>
      <w:r>
        <w:rPr>
          <w:sz w:val="16"/>
        </w:rPr>
        <w:t>B domine A si B préserve tous les invariants critiques, ne réduit aucun futur essentiel démontré et améliore au moins un profil, dette de transition incluse.</w:t>
      </w:r>
    </w:p>
    <w:p>
      <w:pPr>
        <w:pStyle w:val="ListBullet"/>
        <w:spacing w:after="9"/>
      </w:pPr>
      <w:r>
        <w:rPr>
          <w:sz w:val="16"/>
        </w:rPr>
        <w:t>Une baisse locale d’ordre ou une tolérance plus large peut augmenter la cohérence de l’englobant si elle améliore robustesse, adaptation ou exergie sans dette critique exportée.</w:t>
      </w:r>
    </w:p>
    <w:p>
      <w:pPr>
        <w:pStyle w:val="ListBullet"/>
        <w:spacing w:after="9"/>
      </w:pPr>
      <w:r>
        <w:rPr>
          <w:sz w:val="16"/>
        </w:rPr>
        <w:t>La comparaison doit porter sur la trajectoire et l’horizon, pas sur S(t₀) seul. Aucun S_global numérique sans proxys, normalisation et incertitudes.</w:t>
      </w:r>
    </w:p>
    <w:p>
      <w:pPr>
        <w:pStyle w:val="ListBullet"/>
        <w:spacing w:after="9"/>
      </w:pPr>
      <w:r>
        <w:rPr>
          <w:sz w:val="16"/>
        </w:rPr>
        <w:t>Le but opératoire est la dominance de viabilité multicadre, non la maximisation uniforme de toutes les composantes — souvent impossible ou contradictoire.</w:t>
      </w:r>
    </w:p>
    <w:p>
      <w:pPr>
        <w:spacing w:before="100" w:after="50"/>
      </w:pPr>
      <w:r>
        <w:rPr>
          <w:b/>
          <w:color w:val="2F7DBE"/>
          <w:sz w:val="22"/>
        </w:rPr>
        <w:t>61.4 Calcul multicadre obligatoire</w:t>
      </w:r>
    </w:p>
    <w:p>
      <w:pPr>
        <w:pStyle w:val="ListBullet"/>
        <w:spacing w:after="9"/>
      </w:pPr>
      <w:r>
        <w:rPr>
          <w:sz w:val="16"/>
        </w:rPr>
        <w:t>Six objets : FAIL pour « plus rigide / plus ordonné = toujours plus cohérent » ; PASS pour « préserver davantage de futurs viables ».</w:t>
      </w:r>
    </w:p>
    <w:p>
      <w:pPr>
        <w:pStyle w:val="ListBullet"/>
        <w:spacing w:after="9"/>
      </w:pPr>
      <w:r>
        <w:rPr>
          <w:sz w:val="16"/>
        </w:rPr>
        <w:t>« Toujours augmenter la cohérence multicadre » : PASS si défini par dominance de viabilité ; FAIL si défini par maximum instantané ou moyenne scalaire.</w:t>
      </w:r>
    </w:p>
    <w:p>
      <w:pPr>
        <w:pStyle w:val="ListBullet"/>
        <w:spacing w:after="9"/>
      </w:pPr>
      <w:r>
        <w:rPr>
          <w:sz w:val="16"/>
        </w:rPr>
        <w:t>Marges optimales, plages fonctionnelles, futurs essentiels et S : NON_MESURÉS sans protocoles propres à chaque objet.</w:t>
      </w:r>
    </w:p>
    <w:p>
      <w:pPr>
        <w:pStyle w:val="ListBullet"/>
        <w:spacing w:after="9"/>
      </w:pPr>
      <w:r>
        <w:rPr>
          <w:sz w:val="16"/>
        </w:rPr>
        <w:t>Cadre planétaire : obligatoire ; toute rigidification locale énergivore ou matérielle doit être auditée jusqu’au terminal terrestre.</w:t>
      </w:r>
    </w:p>
    <w:p>
      <w:pPr>
        <w:pStyle w:val="ListBullet"/>
        <w:spacing w:after="9"/>
      </w:pPr>
      <w:r>
        <w:rPr>
          <w:sz w:val="16"/>
        </w:rPr>
        <w:t>Correspondance exacte avec le corpus canonique : NON_VÉRIFIÉE dans ce passage.</w:t>
      </w:r>
    </w:p>
    <w:p>
      <w:pPr>
        <w:spacing w:after="20"/>
        <w:jc w:val="center"/>
      </w:pPr>
      <w:r>
        <w:rPr>
          <w:b/>
          <w:color w:val="1F4E79"/>
          <w:sz w:val="18"/>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7"/>
              </w:rPr>
              <w:t>VERROU — Augmenter la cohérence = préserver ou agrandir les futurs viables sans régression critique dans aucun cadre. Ne jamais confondre cohérence avec rigidité, uniformité, absence totale de tension ou maximum instantané d’un proxy.</w:t>
            </w:r>
          </w:p>
        </w:tc>
      </w:tr>
    </w:tbl>
    <w:p>
      <w:pPr>
        <w:pageBreakBefore/>
        <w:spacing w:before="100" w:after="50"/>
      </w:pPr>
      <w:r>
        <w:rPr>
          <w:b/>
          <w:color w:val="2F7DBE"/>
          <w:sz w:val="26"/>
        </w:rPr>
        <w:t>SECTION 62 — Puissance de compensation — même énergie utile, trajectoires différentes</w:t>
      </w:r>
    </w:p>
    <w:tbl>
      <w:tblPr>
        <w:tblW w:type="dxa" w:w="10368"/>
        <w:jc w:val="left"/>
        <w:tblLayout w:type="fixed"/>
        <w:tblLook w:firstColumn="1" w:firstRow="1" w:lastColumn="0" w:lastRow="0" w:noHBand="0" w:noVBand="1" w:val="04A0"/>
        <w:tblInd w:type="dxa" w:w="120"/>
      </w:tblPr>
      <w:tblGrid>
        <w:gridCol w:w="10368"/>
      </w:tblGrid>
      <w:tr>
        <w:trPr/>
        <w:tc>
          <w:tcPr>
            <w:tcW w:type="dxa" w:w="10368"/>
            <w:vAlign w:val="center"/>
            <w:shd w:fill="D9EAD3"/>
            <w:tcMar>
              <w:top w:w="80" w:type="dxa"/>
              <w:bottom w:w="80" w:type="dxa"/>
              <w:start w:w="120" w:type="dxa"/>
              <w:end w:w="120" w:type="dxa"/>
            </w:tcMar>
          </w:tcPr>
          <w:p>
            <w:pPr>
              <w:spacing w:after="0"/>
            </w:pPr>
            <w:r>
              <w:rPr>
                <w:b/>
                <w:color w:val="1F4E79"/>
                <w:sz w:val="17"/>
              </w:rPr>
              <w:t>RÉSULTAT — L’exergie indique la quantité totale d’énergie utile disponible. La puissance indique à quelle vitesse l’objet peut la recevoir ou la fournir. À exergie égale, un débit trop faible peut rendre la compensation trop lente ; un débit trop fort peut créer une dette nouvelle.</w:t>
            </w:r>
          </w:p>
        </w:tc>
      </w:tr>
    </w:tbl>
    <w:p>
      <w:pPr>
        <w:spacing w:before="100" w:after="50"/>
      </w:pPr>
      <w:r>
        <w:rPr>
          <w:b/>
          <w:color w:val="2F7DBE"/>
          <w:sz w:val="22"/>
        </w:rPr>
        <w:t>62.1 Passage sur six objets simples</w:t>
      </w:r>
    </w:p>
    <w:tbl>
      <w:tblPr>
        <w:tblStyle w:val="TableGrid"/>
        <w:tblW w:type="dxa" w:w="10368"/>
        <w:jc w:val="left"/>
        <w:tblLayout w:type="fixed"/>
        <w:tblLook w:firstColumn="1" w:firstRow="1" w:lastColumn="0" w:lastRow="0" w:noHBand="0" w:noVBand="1" w:val="04A0"/>
        <w:tblInd w:type="dxa" w:w="120"/>
      </w:tblPr>
      <w:tblGrid>
        <w:gridCol w:w="1460"/>
        <w:gridCol w:w="2775"/>
        <w:gridCol w:w="3432"/>
        <w:gridCol w:w="2701"/>
      </w:tblGrid>
      <w:tr>
        <w:trPr/>
        <w:tc>
          <w:tcPr>
            <w:tcW w:type="dxa" w:w="1460"/>
            <w:shd w:fill="D9EAF7"/>
            <w:tcMar>
              <w:top w:w="80" w:type="dxa"/>
              <w:bottom w:w="80" w:type="dxa"/>
              <w:start w:w="120" w:type="dxa"/>
              <w:end w:w="120" w:type="dxa"/>
            </w:tcMar>
          </w:tcPr>
          <w:p>
            <w:r>
              <w:rPr>
                <w:b/>
                <w:color w:val="1F4E79"/>
                <w:sz w:val="13"/>
              </w:rPr>
              <w:t>Objet</w:t>
            </w:r>
          </w:p>
        </w:tc>
        <w:tc>
          <w:tcPr>
            <w:tcW w:type="dxa" w:w="2775"/>
            <w:shd w:fill="D9EAF7"/>
            <w:tcMar>
              <w:top w:w="80" w:type="dxa"/>
              <w:bottom w:w="80" w:type="dxa"/>
              <w:start w:w="120" w:type="dxa"/>
              <w:end w:w="120" w:type="dxa"/>
            </w:tcMar>
          </w:tcPr>
          <w:p>
            <w:r>
              <w:rPr>
                <w:b/>
                <w:color w:val="1F4E79"/>
                <w:sz w:val="13"/>
              </w:rPr>
              <w:t>Même résultat apparent</w:t>
            </w:r>
          </w:p>
        </w:tc>
        <w:tc>
          <w:tcPr>
            <w:tcW w:type="dxa" w:w="3432"/>
            <w:shd w:fill="D9EAF7"/>
            <w:tcMar>
              <w:top w:w="80" w:type="dxa"/>
              <w:bottom w:w="80" w:type="dxa"/>
              <w:start w:w="120" w:type="dxa"/>
              <w:end w:w="120" w:type="dxa"/>
            </w:tcMar>
          </w:tcPr>
          <w:p>
            <w:r>
              <w:rPr>
                <w:b/>
                <w:color w:val="1F4E79"/>
                <w:sz w:val="13"/>
              </w:rPr>
              <w:t>Ce que change la puissance</w:t>
            </w:r>
          </w:p>
        </w:tc>
        <w:tc>
          <w:tcPr>
            <w:tcW w:type="dxa" w:w="2701"/>
            <w:shd w:fill="D9EAF7"/>
            <w:tcMar>
              <w:top w:w="80" w:type="dxa"/>
              <w:bottom w:w="80" w:type="dxa"/>
              <w:start w:w="120" w:type="dxa"/>
              <w:end w:w="120" w:type="dxa"/>
            </w:tcMar>
          </w:tcPr>
          <w:p>
            <w:r>
              <w:rPr>
                <w:b/>
                <w:color w:val="1F4E79"/>
                <w:sz w:val="13"/>
              </w:rPr>
              <w:t>Borne obtenue</w:t>
            </w:r>
          </w:p>
        </w:tc>
      </w:tr>
      <w:tr>
        <w:trPr/>
        <w:tc>
          <w:tcPr>
            <w:tcW w:type="dxa" w:w="1460"/>
            <w:vAlign w:val="top"/>
            <w:tcMar>
              <w:top w:w="80" w:type="dxa"/>
              <w:bottom w:w="80" w:type="dxa"/>
              <w:start w:w="120" w:type="dxa"/>
              <w:end w:w="120" w:type="dxa"/>
            </w:tcMar>
          </w:tcPr>
          <w:p>
            <w:r>
              <w:rPr>
                <w:sz w:val="12"/>
              </w:rPr>
              <w:t>Bille</w:t>
            </w:r>
          </w:p>
        </w:tc>
        <w:tc>
          <w:tcPr>
            <w:tcW w:type="dxa" w:w="2775"/>
            <w:vAlign w:val="top"/>
            <w:tcMar>
              <w:top w:w="80" w:type="dxa"/>
              <w:bottom w:w="80" w:type="dxa"/>
              <w:start w:w="120" w:type="dxa"/>
              <w:end w:w="120" w:type="dxa"/>
            </w:tcMar>
          </w:tcPr>
          <w:p>
            <w:r>
              <w:rPr>
                <w:sz w:val="12"/>
              </w:rPr>
              <w:t>La monter doucement ou brutalement à la même hauteur.</w:t>
            </w:r>
          </w:p>
        </w:tc>
        <w:tc>
          <w:tcPr>
            <w:tcW w:type="dxa" w:w="3432"/>
            <w:vAlign w:val="top"/>
            <w:tcMar>
              <w:top w:w="80" w:type="dxa"/>
              <w:bottom w:w="80" w:type="dxa"/>
              <w:start w:w="120" w:type="dxa"/>
              <w:end w:w="120" w:type="dxa"/>
            </w:tcMar>
          </w:tcPr>
          <w:p>
            <w:r>
              <w:rPr>
                <w:sz w:val="12"/>
              </w:rPr>
              <w:t>Le gain idéal m·g·Δh est identique ; force de pointe, chocs et pertes diffèrent.</w:t>
            </w:r>
          </w:p>
        </w:tc>
        <w:tc>
          <w:tcPr>
            <w:tcW w:type="dxa" w:w="2701"/>
            <w:vAlign w:val="top"/>
            <w:tcMar>
              <w:top w:w="80" w:type="dxa"/>
              <w:bottom w:w="80" w:type="dxa"/>
              <w:start w:w="120" w:type="dxa"/>
              <w:end w:w="120" w:type="dxa"/>
            </w:tcMar>
          </w:tcPr>
          <w:p>
            <w:r>
              <w:rPr>
                <w:sz w:val="12"/>
              </w:rPr>
              <w:t>Même cible et énergie minimale, dette induite différente.</w:t>
            </w:r>
          </w:p>
        </w:tc>
      </w:tr>
      <w:tr>
        <w:trPr/>
        <w:tc>
          <w:tcPr>
            <w:tcW w:type="dxa" w:w="1460"/>
            <w:vAlign w:val="top"/>
            <w:tcMar>
              <w:top w:w="80" w:type="dxa"/>
              <w:bottom w:w="80" w:type="dxa"/>
              <w:start w:w="120" w:type="dxa"/>
              <w:end w:w="120" w:type="dxa"/>
            </w:tcMar>
          </w:tcPr>
          <w:p>
            <w:r>
              <w:rPr>
                <w:sz w:val="12"/>
              </w:rPr>
              <w:t>Élastique</w:t>
            </w:r>
          </w:p>
        </w:tc>
        <w:tc>
          <w:tcPr>
            <w:tcW w:type="dxa" w:w="2775"/>
            <w:vAlign w:val="top"/>
            <w:tcMar>
              <w:top w:w="80" w:type="dxa"/>
              <w:bottom w:w="80" w:type="dxa"/>
              <w:start w:w="120" w:type="dxa"/>
              <w:end w:w="120" w:type="dxa"/>
            </w:tcMar>
          </w:tcPr>
          <w:p>
            <w:r>
              <w:rPr>
                <w:sz w:val="12"/>
              </w:rPr>
              <w:t>Fournir le même travail d’allongement.</w:t>
            </w:r>
          </w:p>
        </w:tc>
        <w:tc>
          <w:tcPr>
            <w:tcW w:type="dxa" w:w="3432"/>
            <w:vAlign w:val="top"/>
            <w:tcMar>
              <w:top w:w="80" w:type="dxa"/>
              <w:bottom w:w="80" w:type="dxa"/>
              <w:start w:w="120" w:type="dxa"/>
              <w:end w:w="120" w:type="dxa"/>
            </w:tcMar>
          </w:tcPr>
          <w:p>
            <w:r>
              <w:rPr>
                <w:sz w:val="12"/>
              </w:rPr>
              <w:t>Un débit trop rapide augmente échauffement, oscillation ou dommage.</w:t>
            </w:r>
          </w:p>
        </w:tc>
        <w:tc>
          <w:tcPr>
            <w:tcW w:type="dxa" w:w="2701"/>
            <w:vAlign w:val="top"/>
            <w:tcMar>
              <w:top w:w="80" w:type="dxa"/>
              <w:bottom w:w="80" w:type="dxa"/>
              <w:start w:w="120" w:type="dxa"/>
              <w:end w:w="120" w:type="dxa"/>
            </w:tcMar>
          </w:tcPr>
          <w:p>
            <w:r>
              <w:rPr>
                <w:sz w:val="12"/>
              </w:rPr>
              <w:t>La vitesse d’apport doit rester dans la plage absorbable.</w:t>
            </w:r>
          </w:p>
        </w:tc>
      </w:tr>
      <w:tr>
        <w:trPr/>
        <w:tc>
          <w:tcPr>
            <w:tcW w:type="dxa" w:w="1460"/>
            <w:vAlign w:val="top"/>
            <w:tcMar>
              <w:top w:w="80" w:type="dxa"/>
              <w:bottom w:w="80" w:type="dxa"/>
              <w:start w:w="120" w:type="dxa"/>
              <w:end w:w="120" w:type="dxa"/>
            </w:tcMar>
          </w:tcPr>
          <w:p>
            <w:r>
              <w:rPr>
                <w:sz w:val="12"/>
              </w:rPr>
              <w:t>Batterie</w:t>
            </w:r>
          </w:p>
        </w:tc>
        <w:tc>
          <w:tcPr>
            <w:tcW w:type="dxa" w:w="2775"/>
            <w:vAlign w:val="top"/>
            <w:tcMar>
              <w:top w:w="80" w:type="dxa"/>
              <w:bottom w:w="80" w:type="dxa"/>
              <w:start w:w="120" w:type="dxa"/>
              <w:end w:w="120" w:type="dxa"/>
            </w:tcMar>
          </w:tcPr>
          <w:p>
            <w:r>
              <w:rPr>
                <w:sz w:val="12"/>
              </w:rPr>
              <w:t>Restituer la même quantité de charge utile.</w:t>
            </w:r>
          </w:p>
        </w:tc>
        <w:tc>
          <w:tcPr>
            <w:tcW w:type="dxa" w:w="3432"/>
            <w:vAlign w:val="top"/>
            <w:tcMar>
              <w:top w:w="80" w:type="dxa"/>
              <w:bottom w:w="80" w:type="dxa"/>
              <w:start w:w="120" w:type="dxa"/>
              <w:end w:w="120" w:type="dxa"/>
            </w:tcMar>
          </w:tcPr>
          <w:p>
            <w:r>
              <w:rPr>
                <w:sz w:val="12"/>
              </w:rPr>
              <w:t>Charge lente ou rapide : puissance, température et vieillissement ne sont pas identiques.</w:t>
            </w:r>
          </w:p>
        </w:tc>
        <w:tc>
          <w:tcPr>
            <w:tcW w:type="dxa" w:w="2701"/>
            <w:vAlign w:val="top"/>
            <w:tcMar>
              <w:top w:w="80" w:type="dxa"/>
              <w:bottom w:w="80" w:type="dxa"/>
              <w:start w:w="120" w:type="dxa"/>
              <w:end w:w="120" w:type="dxa"/>
            </w:tcMar>
          </w:tcPr>
          <w:p>
            <w:r>
              <w:rPr>
                <w:sz w:val="12"/>
              </w:rPr>
              <w:t>La durée minimale est bornée par sécurité et robustesse.</w:t>
            </w:r>
          </w:p>
        </w:tc>
      </w:tr>
      <w:tr>
        <w:trPr/>
        <w:tc>
          <w:tcPr>
            <w:tcW w:type="dxa" w:w="1460"/>
            <w:vAlign w:val="top"/>
            <w:tcMar>
              <w:top w:w="80" w:type="dxa"/>
              <w:bottom w:w="80" w:type="dxa"/>
              <w:start w:w="120" w:type="dxa"/>
              <w:end w:w="120" w:type="dxa"/>
            </w:tcMar>
          </w:tcPr>
          <w:p>
            <w:r>
              <w:rPr>
                <w:sz w:val="12"/>
              </w:rPr>
              <w:t>Vitre</w:t>
            </w:r>
          </w:p>
        </w:tc>
        <w:tc>
          <w:tcPr>
            <w:tcW w:type="dxa" w:w="2775"/>
            <w:vAlign w:val="top"/>
            <w:tcMar>
              <w:top w:w="80" w:type="dxa"/>
              <w:bottom w:w="80" w:type="dxa"/>
              <w:start w:w="120" w:type="dxa"/>
              <w:end w:w="120" w:type="dxa"/>
            </w:tcMar>
          </w:tcPr>
          <w:p>
            <w:r>
              <w:rPr>
                <w:sz w:val="12"/>
              </w:rPr>
              <w:t>Apporter la chaleur nécessaire à une transformation.</w:t>
            </w:r>
          </w:p>
        </w:tc>
        <w:tc>
          <w:tcPr>
            <w:tcW w:type="dxa" w:w="3432"/>
            <w:vAlign w:val="top"/>
            <w:tcMar>
              <w:top w:w="80" w:type="dxa"/>
              <w:bottom w:w="80" w:type="dxa"/>
              <w:start w:w="120" w:type="dxa"/>
              <w:end w:w="120" w:type="dxa"/>
            </w:tcMar>
          </w:tcPr>
          <w:p>
            <w:r>
              <w:rPr>
                <w:sz w:val="12"/>
              </w:rPr>
              <w:t>Un chauffage trop rapide crée des gradients et peut provoquer un choc thermique.</w:t>
            </w:r>
          </w:p>
        </w:tc>
        <w:tc>
          <w:tcPr>
            <w:tcW w:type="dxa" w:w="2701"/>
            <w:vAlign w:val="top"/>
            <w:tcMar>
              <w:top w:w="80" w:type="dxa"/>
              <w:bottom w:w="80" w:type="dxa"/>
              <w:start w:w="120" w:type="dxa"/>
              <w:end w:w="120" w:type="dxa"/>
            </w:tcMar>
          </w:tcPr>
          <w:p>
            <w:r>
              <w:rPr>
                <w:sz w:val="12"/>
              </w:rPr>
              <w:t>La puissance admissible dépend de l’objet et du milieu.</w:t>
            </w:r>
          </w:p>
        </w:tc>
      </w:tr>
      <w:tr>
        <w:trPr/>
        <w:tc>
          <w:tcPr>
            <w:tcW w:type="dxa" w:w="1460"/>
            <w:vAlign w:val="top"/>
            <w:tcMar>
              <w:top w:w="80" w:type="dxa"/>
              <w:bottom w:w="80" w:type="dxa"/>
              <w:start w:w="120" w:type="dxa"/>
              <w:end w:w="120" w:type="dxa"/>
            </w:tcMar>
          </w:tcPr>
          <w:p>
            <w:r>
              <w:rPr>
                <w:sz w:val="12"/>
              </w:rPr>
              <w:t>Tire-bouchon</w:t>
            </w:r>
          </w:p>
        </w:tc>
        <w:tc>
          <w:tcPr>
            <w:tcW w:type="dxa" w:w="2775"/>
            <w:vAlign w:val="top"/>
            <w:tcMar>
              <w:top w:w="80" w:type="dxa"/>
              <w:bottom w:w="80" w:type="dxa"/>
              <w:start w:w="120" w:type="dxa"/>
              <w:end w:w="120" w:type="dxa"/>
            </w:tcMar>
          </w:tcPr>
          <w:p>
            <w:r>
              <w:rPr>
                <w:sz w:val="12"/>
              </w:rPr>
              <w:t>Extraire le même bouchon avec un travail comparable.</w:t>
            </w:r>
          </w:p>
        </w:tc>
        <w:tc>
          <w:tcPr>
            <w:tcW w:type="dxa" w:w="3432"/>
            <w:vAlign w:val="top"/>
            <w:tcMar>
              <w:top w:w="80" w:type="dxa"/>
              <w:bottom w:w="80" w:type="dxa"/>
              <w:start w:w="120" w:type="dxa"/>
              <w:end w:w="120" w:type="dxa"/>
            </w:tcMar>
          </w:tcPr>
          <w:p>
            <w:r>
              <w:rPr>
                <w:sz w:val="12"/>
              </w:rPr>
              <w:t>Un couple délivré trop brutalement peut déchirer le bouchon ou casser l’outil.</w:t>
            </w:r>
          </w:p>
        </w:tc>
        <w:tc>
          <w:tcPr>
            <w:tcW w:type="dxa" w:w="2701"/>
            <w:vAlign w:val="top"/>
            <w:tcMar>
              <w:top w:w="80" w:type="dxa"/>
              <w:bottom w:w="80" w:type="dxa"/>
              <w:start w:w="120" w:type="dxa"/>
              <w:end w:w="120" w:type="dxa"/>
            </w:tcMar>
          </w:tcPr>
          <w:p>
            <w:r>
              <w:rPr>
                <w:sz w:val="12"/>
              </w:rPr>
              <w:t>Le profil d’effort compte autant que sa quantité totale.</w:t>
            </w:r>
          </w:p>
        </w:tc>
      </w:tr>
      <w:tr>
        <w:trPr/>
        <w:tc>
          <w:tcPr>
            <w:tcW w:type="dxa" w:w="1460"/>
            <w:vAlign w:val="top"/>
            <w:tcMar>
              <w:top w:w="80" w:type="dxa"/>
              <w:bottom w:w="80" w:type="dxa"/>
              <w:start w:w="120" w:type="dxa"/>
              <w:end w:w="120" w:type="dxa"/>
            </w:tcMar>
          </w:tcPr>
          <w:p>
            <w:r>
              <w:rPr>
                <w:sz w:val="12"/>
              </w:rPr>
              <w:t>Plastique / planète</w:t>
            </w:r>
          </w:p>
        </w:tc>
        <w:tc>
          <w:tcPr>
            <w:tcW w:type="dxa" w:w="2775"/>
            <w:vAlign w:val="top"/>
            <w:tcMar>
              <w:top w:w="80" w:type="dxa"/>
              <w:bottom w:w="80" w:type="dxa"/>
              <w:start w:w="120" w:type="dxa"/>
              <w:end w:w="120" w:type="dxa"/>
            </w:tcMar>
          </w:tcPr>
          <w:p>
            <w:r>
              <w:rPr>
                <w:sz w:val="12"/>
              </w:rPr>
              <w:t>Traiter une même masse par une filière donnée.</w:t>
            </w:r>
          </w:p>
        </w:tc>
        <w:tc>
          <w:tcPr>
            <w:tcW w:type="dxa" w:w="3432"/>
            <w:vAlign w:val="top"/>
            <w:tcMar>
              <w:top w:w="80" w:type="dxa"/>
              <w:bottom w:w="80" w:type="dxa"/>
              <w:start w:w="120" w:type="dxa"/>
              <w:end w:w="120" w:type="dxa"/>
            </w:tcMar>
          </w:tcPr>
          <w:p>
            <w:r>
              <w:rPr>
                <w:sz w:val="12"/>
              </w:rPr>
              <w:t>Même exergie totale, mais pointe électrique, stockage et origine de l’énergie changent les effets supérieurs.</w:t>
            </w:r>
          </w:p>
        </w:tc>
        <w:tc>
          <w:tcPr>
            <w:tcW w:type="dxa" w:w="2701"/>
            <w:vAlign w:val="top"/>
            <w:tcMar>
              <w:top w:w="80" w:type="dxa"/>
              <w:bottom w:w="80" w:type="dxa"/>
              <w:start w:w="120" w:type="dxa"/>
              <w:end w:w="120" w:type="dxa"/>
            </w:tcMar>
          </w:tcPr>
          <w:p>
            <w:r>
              <w:rPr>
                <w:sz w:val="12"/>
              </w:rPr>
              <w:t>Le réseau et la planète imposent aussi leurs limites de débit.</w:t>
            </w:r>
          </w:p>
        </w:tc>
      </w:tr>
    </w:tbl>
    <w:p>
      <w:pPr>
        <w:spacing w:before="100" w:after="50"/>
      </w:pPr>
      <w:r>
        <w:rPr>
          <w:b/>
          <w:color w:val="2F7DBE"/>
          <w:sz w:val="22"/>
        </w:rPr>
        <w:t>62.2 Les quatre grandeurs à ne plus confondre</w:t>
      </w:r>
    </w:p>
    <w:p>
      <w:pPr>
        <w:pStyle w:val="ListBullet"/>
        <w:spacing w:after="9"/>
      </w:pPr>
      <w:r>
        <w:rPr>
          <w:sz w:val="16"/>
        </w:rPr>
        <w:t>Dette : capacités ou futurs perdus, plus écart résorbable vers la meilleure cible encore atteignable F†.</w:t>
      </w:r>
    </w:p>
    <w:p>
      <w:pPr>
        <w:pStyle w:val="ListBullet"/>
        <w:spacing w:after="9"/>
      </w:pPr>
      <w:r>
        <w:rPr>
          <w:sz w:val="16"/>
        </w:rPr>
        <w:t>Exergie B : quantité d’énergie utile réellement disponible pour suivre un chemin de compensation donné.</w:t>
      </w:r>
    </w:p>
    <w:p>
      <w:pPr>
        <w:pStyle w:val="ListBullet"/>
        <w:spacing w:after="9"/>
      </w:pPr>
      <w:r>
        <w:rPr>
          <w:sz w:val="16"/>
        </w:rPr>
        <w:t>Durée Δτ : temps nécessaire pour parcourir ce chemin sous les contraintes fixées.</w:t>
      </w:r>
    </w:p>
    <w:p>
      <w:pPr>
        <w:pStyle w:val="ListBullet"/>
        <w:spacing w:after="9"/>
      </w:pPr>
      <w:r>
        <w:rPr>
          <w:sz w:val="16"/>
        </w:rPr>
        <w:t>Puissance utile Pᵤ(t) : débit instantané d’énergie utile. Sa moyenne B/Δτ ne décrit ni les pointes ni les limites d’absorption.</w:t>
      </w:r>
    </w:p>
    <w:p>
      <w:pPr>
        <w:spacing w:before="100" w:after="50"/>
      </w:pPr>
      <w:r>
        <w:rPr>
          <w:b/>
          <w:color w:val="2F7DBE"/>
          <w:sz w:val="22"/>
        </w:rPr>
        <w:t>62.3 Borne opérationnelle minimale</w:t>
      </w:r>
    </w:p>
    <w:p>
      <w:pPr>
        <w:spacing w:after="20"/>
        <w:jc w:val="center"/>
      </w:pPr>
      <w:r>
        <w:rPr>
          <w:b/>
          <w:color w:val="1F4E79"/>
          <w:sz w:val="18"/>
        </w:rPr>
        <w:t>Chemin admissible : Bₑₙₜᵣₐₙₜ ≥ B* ; Pₘᵢₙ(t) ≤ Pᵤ(t) ≤ Pₘₐₓ(t) ; invariants préservés</w:t>
      </w:r>
    </w:p>
    <w:p>
      <w:pPr>
        <w:pStyle w:val="ListBullet"/>
        <w:spacing w:after="9"/>
      </w:pPr>
      <w:r>
        <w:rPr>
          <w:sz w:val="16"/>
        </w:rPr>
        <w:t>B* fixe un minimum utile pour la cible et le milieu choisis ; le processus réel demande davantage lorsque des irréversibilités détruisent de l’exergie.</w:t>
      </w:r>
    </w:p>
    <w:p>
      <w:pPr>
        <w:pStyle w:val="ListBullet"/>
        <w:spacing w:after="9"/>
      </w:pPr>
      <w:r>
        <w:rPr>
          <w:sz w:val="16"/>
        </w:rPr>
        <w:t>Pₘᵢₙ existe lorsqu’il faut dépasser des pertes continues ou respecter une échéance ; Pₘₐₓ vient des limites thermiques, mécaniques, biologiques, du réseau ou de sécurité.</w:t>
      </w:r>
    </w:p>
    <w:p>
      <w:pPr>
        <w:pStyle w:val="ListBullet"/>
        <w:spacing w:after="9"/>
      </w:pPr>
      <w:r>
        <w:rPr>
          <w:sz w:val="16"/>
        </w:rPr>
        <w:t>Une compensation n’est réalisable que s’il existe au moins une trajectoire respectant simultanément quantité, durée, puissance et invariants multicadres.</w:t>
      </w:r>
    </w:p>
    <w:p>
      <w:pPr>
        <w:pStyle w:val="ListBullet"/>
        <w:spacing w:after="9"/>
      </w:pPr>
      <w:r>
        <w:rPr>
          <w:sz w:val="16"/>
        </w:rPr>
        <w:t>Si aucune trajectoire ne respecte cette fenêtre, la cible choisie n’est pas admissible dans les conditions fixées : il faut changer le chemin, la durée ou F†.</w:t>
      </w:r>
    </w:p>
    <w:p>
      <w:pPr>
        <w:spacing w:before="100" w:after="50"/>
      </w:pPr>
      <w:r>
        <w:rPr>
          <w:b/>
          <w:color w:val="2F7DBE"/>
          <w:sz w:val="22"/>
        </w:rPr>
        <w:t>62.4 Calcul multicadre obligatoire</w:t>
      </w:r>
    </w:p>
    <w:p>
      <w:pPr>
        <w:pStyle w:val="ListBullet"/>
        <w:spacing w:after="9"/>
      </w:pPr>
      <w:r>
        <w:rPr>
          <w:sz w:val="16"/>
        </w:rPr>
        <w:t>Local : PASS qualitatif — les six objets distinguent quantité totale et débit sans contradiction détectée.</w:t>
      </w:r>
    </w:p>
    <w:p>
      <w:pPr>
        <w:pStyle w:val="ListBullet"/>
        <w:spacing w:after="9"/>
      </w:pPr>
      <w:r>
        <w:rPr>
          <w:sz w:val="16"/>
        </w:rPr>
        <w:t>Voisins et englobant : PASS conceptuel — ils peuvent limiter ou absorber la puissance et acquérir leur propre dette induite.</w:t>
      </w:r>
    </w:p>
    <w:p>
      <w:pPr>
        <w:pStyle w:val="ListBullet"/>
        <w:spacing w:after="9"/>
      </w:pPr>
      <w:r>
        <w:rPr>
          <w:sz w:val="16"/>
        </w:rPr>
        <w:t>Planète : audit obligatoire — origine de l’énergie, pointes de réseau, matière et exergie détruite restent NON_MESURÉES sans processus réel.</w:t>
      </w:r>
    </w:p>
    <w:p>
      <w:pPr>
        <w:pStyle w:val="ListBullet"/>
        <w:spacing w:after="9"/>
      </w:pPr>
      <w:r>
        <w:rPr>
          <w:sz w:val="16"/>
        </w:rPr>
        <w:t>Courbes Pᵤ(t), seuils, pertes, gains de prédiction et S_global : NON_MESURÉS sans instrumentation et comparaison préenregistrée.</w:t>
      </w:r>
    </w:p>
    <w:p>
      <w:pPr>
        <w:pStyle w:val="ListBullet"/>
        <w:spacing w:after="9"/>
      </w:pPr>
      <w:r>
        <w:rPr>
          <w:sz w:val="16"/>
        </w:rPr>
        <w:t>Correspondance exacte avec le corpus canonique : NON_VÉRIFIÉE dans ce passage.</w:t>
      </w:r>
    </w:p>
    <w:p>
      <w:pPr>
        <w:spacing w:after="20"/>
        <w:jc w:val="center"/>
      </w:pPr>
      <w:r>
        <w:rPr>
          <w:b/>
          <w:color w:val="1F4E79"/>
          <w:sz w:val="18"/>
        </w:rPr>
        <w:t>S = (β × ΔΦ) / (1 + T + σ) ; S_global = NON_MESURÉ</w:t>
      </w:r>
    </w:p>
    <w:tbl>
      <w:tblPr>
        <w:tblW w:type="dxa" w:w="10368"/>
        <w:jc w:val="left"/>
        <w:tblLayout w:type="fixed"/>
        <w:tblLook w:firstColumn="1" w:firstRow="1" w:lastColumn="0" w:lastRow="0" w:noHBand="0" w:noVBand="1" w:val="04A0"/>
        <w:tblInd w:type="dxa" w:w="120"/>
      </w:tblPr>
      <w:tblGrid>
        <w:gridCol w:w="10368"/>
      </w:tblGrid>
      <w:tr>
        <w:trPr/>
        <w:tc>
          <w:tcPr>
            <w:tcW w:type="dxa" w:w="10368"/>
            <w:vAlign w:val="center"/>
            <w:shd w:fill="F4CCCC"/>
            <w:tcMar>
              <w:top w:w="80" w:type="dxa"/>
              <w:bottom w:w="80" w:type="dxa"/>
              <w:start w:w="120" w:type="dxa"/>
              <w:end w:w="120" w:type="dxa"/>
            </w:tcMar>
          </w:tcPr>
          <w:p>
            <w:pPr>
              <w:spacing w:after="0"/>
            </w:pPr>
            <w:r>
              <w:rPr>
                <w:b/>
                <w:color w:val="C62828"/>
                <w:sz w:val="17"/>
              </w:rPr>
              <w:t>VERROU — La dette n’est ni l’énergie, ni l’exergie, ni le temps, ni la puissance. Ces grandeurs décrivent la faisabilité et le coût causal du chemin de compensation. À quantité égale, le profil de puissance peut réduire ou augmenter la dette locale et supérieure.</w:t>
            </w:r>
          </w:p>
        </w:tc>
      </w:tr>
    </w:tbl>
    <w:p>
      <w:pPr>
        <w:pageBreakBefore/>
        <w:spacing w:before="100" w:after="50"/>
      </w:pPr>
      <w:r>
        <w:rPr>
          <w:b/>
          <w:color w:val="2F7DBE"/>
          <w:sz w:val="26"/>
        </w:rPr>
        <w:t>SECTION 63 — Exergie — filtre physique amont des futurs admissibles</w:t>
      </w:r>
    </w:p>
    <w:tbl>
      <w:tblPr>
        <w:tblW w:type="dxa" w:w="10368"/>
        <w:jc w:val="left"/>
        <w:tblLayout w:type="fixed"/>
        <w:tblLook w:firstColumn="1" w:firstRow="1" w:lastColumn="0" w:lastRow="0" w:noHBand="0" w:noVBand="1" w:val="04A0"/>
        <w:tblInd w:type="dxa" w:w="120"/>
      </w:tblPr>
      <w:tblGrid>
        <w:gridCol w:w="10368"/>
      </w:tblGrid>
      <w:tr>
        <w:trPr/>
        <w:tc>
          <w:tcPr>
            <w:tcW w:type="dxa" w:w="10368"/>
            <w:vAlign w:val="center"/>
            <w:shd w:fill="D9EAD3"/>
            <w:tcMar>
              <w:top w:w="80" w:type="dxa"/>
              <w:bottom w:w="80" w:type="dxa"/>
              <w:start w:w="120" w:type="dxa"/>
              <w:end w:w="120" w:type="dxa"/>
            </w:tcMar>
          </w:tcPr>
          <w:p>
            <w:pPr>
              <w:spacing w:after="0"/>
            </w:pPr>
            <w:r>
              <w:rPr>
                <w:b/>
                <w:color w:val="1F4E79"/>
                <w:sz w:val="17"/>
              </w:rPr>
              <w:t>RÉSULTAT — L’exergie est une clé parce qu’elle intervient avant le classement des futurs. Un futur est physiquement exclu si aucune trajectoire ne peut mobiliser l’énergie utile requise sans violer un invariant critique local ou supérieur. Le passage de ce filtre est nécessaire, jamais suffisant.</w:t>
            </w:r>
          </w:p>
        </w:tc>
      </w:tr>
    </w:tbl>
    <w:p>
      <w:pPr>
        <w:spacing w:before="100" w:after="50"/>
      </w:pPr>
      <w:r>
        <w:rPr>
          <w:b/>
          <w:color w:val="2F7DBE"/>
          <w:sz w:val="22"/>
        </w:rPr>
        <w:t>63.1 Passage sur six objets simples</w:t>
      </w:r>
    </w:p>
    <w:tbl>
      <w:tblPr>
        <w:tblStyle w:val="TableGrid"/>
        <w:tblW w:type="dxa" w:w="10368"/>
        <w:jc w:val="left"/>
        <w:tblLayout w:type="fixed"/>
        <w:tblLook w:firstColumn="1" w:firstRow="1" w:lastColumn="0" w:lastRow="0" w:noHBand="0" w:noVBand="1" w:val="04A0"/>
        <w:tblInd w:type="dxa" w:w="120"/>
      </w:tblPr>
      <w:tblGrid>
        <w:gridCol w:w="1314"/>
        <w:gridCol w:w="2409"/>
        <w:gridCol w:w="4016"/>
        <w:gridCol w:w="2629"/>
      </w:tblGrid>
      <w:tr>
        <w:trPr/>
        <w:tc>
          <w:tcPr>
            <w:tcW w:type="dxa" w:w="1314"/>
            <w:shd w:fill="D9EAF7"/>
            <w:tcMar>
              <w:top w:w="80" w:type="dxa"/>
              <w:bottom w:w="80" w:type="dxa"/>
              <w:start w:w="120" w:type="dxa"/>
              <w:end w:w="120" w:type="dxa"/>
            </w:tcMar>
          </w:tcPr>
          <w:p>
            <w:r>
              <w:rPr>
                <w:b/>
                <w:color w:val="1F4E79"/>
                <w:sz w:val="13"/>
              </w:rPr>
              <w:t>Objet</w:t>
            </w:r>
          </w:p>
        </w:tc>
        <w:tc>
          <w:tcPr>
            <w:tcW w:type="dxa" w:w="2409"/>
            <w:shd w:fill="D9EAF7"/>
            <w:tcMar>
              <w:top w:w="80" w:type="dxa"/>
              <w:bottom w:w="80" w:type="dxa"/>
              <w:start w:w="120" w:type="dxa"/>
              <w:end w:w="120" w:type="dxa"/>
            </w:tcMar>
          </w:tcPr>
          <w:p>
            <w:r>
              <w:rPr>
                <w:b/>
                <w:color w:val="1F4E79"/>
                <w:sz w:val="13"/>
              </w:rPr>
              <w:t>Futur candidat</w:t>
            </w:r>
          </w:p>
        </w:tc>
        <w:tc>
          <w:tcPr>
            <w:tcW w:type="dxa" w:w="4016"/>
            <w:shd w:fill="D9EAF7"/>
            <w:tcMar>
              <w:top w:w="80" w:type="dxa"/>
              <w:bottom w:w="80" w:type="dxa"/>
              <w:start w:w="120" w:type="dxa"/>
              <w:end w:w="120" w:type="dxa"/>
            </w:tcMar>
          </w:tcPr>
          <w:p>
            <w:r>
              <w:rPr>
                <w:b/>
                <w:color w:val="1F4E79"/>
                <w:sz w:val="13"/>
              </w:rPr>
              <w:t>Filtre exergétique</w:t>
            </w:r>
          </w:p>
        </w:tc>
        <w:tc>
          <w:tcPr>
            <w:tcW w:type="dxa" w:w="2629"/>
            <w:shd w:fill="D9EAF7"/>
            <w:tcMar>
              <w:top w:w="80" w:type="dxa"/>
              <w:bottom w:w="80" w:type="dxa"/>
              <w:start w:w="120" w:type="dxa"/>
              <w:end w:w="120" w:type="dxa"/>
            </w:tcMar>
          </w:tcPr>
          <w:p>
            <w:r>
              <w:rPr>
                <w:b/>
                <w:color w:val="1F4E79"/>
                <w:sz w:val="13"/>
              </w:rPr>
              <w:t>Filtres encore nécessaires</w:t>
            </w:r>
          </w:p>
        </w:tc>
      </w:tr>
      <w:tr>
        <w:trPr/>
        <w:tc>
          <w:tcPr>
            <w:tcW w:type="dxa" w:w="1314"/>
            <w:vAlign w:val="top"/>
            <w:tcMar>
              <w:top w:w="80" w:type="dxa"/>
              <w:bottom w:w="80" w:type="dxa"/>
              <w:start w:w="120" w:type="dxa"/>
              <w:end w:w="120" w:type="dxa"/>
            </w:tcMar>
          </w:tcPr>
          <w:p>
            <w:r>
              <w:rPr>
                <w:sz w:val="12"/>
              </w:rPr>
              <w:t>Bille</w:t>
            </w:r>
          </w:p>
        </w:tc>
        <w:tc>
          <w:tcPr>
            <w:tcW w:type="dxa" w:w="2409"/>
            <w:vAlign w:val="top"/>
            <w:tcMar>
              <w:top w:w="80" w:type="dxa"/>
              <w:bottom w:w="80" w:type="dxa"/>
              <w:start w:w="120" w:type="dxa"/>
              <w:end w:w="120" w:type="dxa"/>
            </w:tcMar>
          </w:tcPr>
          <w:p>
            <w:r>
              <w:rPr>
                <w:sz w:val="12"/>
              </w:rPr>
              <w:t>La replacer sur une étagère.</w:t>
            </w:r>
          </w:p>
        </w:tc>
        <w:tc>
          <w:tcPr>
            <w:tcW w:type="dxa" w:w="4016"/>
            <w:vAlign w:val="top"/>
            <w:tcMar>
              <w:top w:w="80" w:type="dxa"/>
              <w:bottom w:w="80" w:type="dxa"/>
              <w:start w:w="120" w:type="dxa"/>
              <w:end w:w="120" w:type="dxa"/>
            </w:tcMar>
          </w:tcPr>
          <w:p>
            <w:r>
              <w:rPr>
                <w:sz w:val="12"/>
              </w:rPr>
              <w:t>Si aucune source admissible ne fournit au moins la montée m·g·Δh et les pertes, ce futur est exclu.</w:t>
            </w:r>
          </w:p>
        </w:tc>
        <w:tc>
          <w:tcPr>
            <w:tcW w:type="dxa" w:w="2629"/>
            <w:vAlign w:val="top"/>
            <w:tcMar>
              <w:top w:w="80" w:type="dxa"/>
              <w:bottom w:w="80" w:type="dxa"/>
              <w:start w:w="120" w:type="dxa"/>
              <w:end w:w="120" w:type="dxa"/>
            </w:tcMar>
          </w:tcPr>
          <w:p>
            <w:r>
              <w:rPr>
                <w:sz w:val="12"/>
              </w:rPr>
              <w:t>Stabilité de l’appui et trajectoire sans choc.</w:t>
            </w:r>
          </w:p>
        </w:tc>
      </w:tr>
      <w:tr>
        <w:trPr/>
        <w:tc>
          <w:tcPr>
            <w:tcW w:type="dxa" w:w="1314"/>
            <w:vAlign w:val="top"/>
            <w:tcMar>
              <w:top w:w="80" w:type="dxa"/>
              <w:bottom w:w="80" w:type="dxa"/>
              <w:start w:w="120" w:type="dxa"/>
              <w:end w:w="120" w:type="dxa"/>
            </w:tcMar>
          </w:tcPr>
          <w:p>
            <w:r>
              <w:rPr>
                <w:sz w:val="12"/>
              </w:rPr>
              <w:t>Élastique</w:t>
            </w:r>
          </w:p>
        </w:tc>
        <w:tc>
          <w:tcPr>
            <w:tcW w:type="dxa" w:w="2409"/>
            <w:vAlign w:val="top"/>
            <w:tcMar>
              <w:top w:w="80" w:type="dxa"/>
              <w:bottom w:w="80" w:type="dxa"/>
              <w:start w:w="120" w:type="dxa"/>
              <w:end w:w="120" w:type="dxa"/>
            </w:tcMar>
          </w:tcPr>
          <w:p>
            <w:r>
              <w:rPr>
                <w:sz w:val="12"/>
              </w:rPr>
              <w:t>Retrouver l’état initial après déformation plastique.</w:t>
            </w:r>
          </w:p>
        </w:tc>
        <w:tc>
          <w:tcPr>
            <w:tcW w:type="dxa" w:w="4016"/>
            <w:vAlign w:val="top"/>
            <w:tcMar>
              <w:top w:w="80" w:type="dxa"/>
              <w:bottom w:w="80" w:type="dxa"/>
              <w:start w:w="120" w:type="dxa"/>
              <w:end w:w="120" w:type="dxa"/>
            </w:tcMar>
          </w:tcPr>
          <w:p>
            <w:r>
              <w:rPr>
                <w:sz w:val="12"/>
              </w:rPr>
              <w:t>Ajouter de l’énergie ne rétablit pas nécessairement la structure moléculaire ; une route de remplacement peut seule rester ouverte.</w:t>
            </w:r>
          </w:p>
        </w:tc>
        <w:tc>
          <w:tcPr>
            <w:tcW w:type="dxa" w:w="2629"/>
            <w:vAlign w:val="top"/>
            <w:tcMar>
              <w:top w:w="80" w:type="dxa"/>
              <w:bottom w:w="80" w:type="dxa"/>
              <w:start w:w="120" w:type="dxa"/>
              <w:end w:w="120" w:type="dxa"/>
            </w:tcMar>
          </w:tcPr>
          <w:p>
            <w:r>
              <w:rPr>
                <w:sz w:val="12"/>
              </w:rPr>
              <w:t>Identité, matière et fonction après intervention.</w:t>
            </w:r>
          </w:p>
        </w:tc>
      </w:tr>
      <w:tr>
        <w:trPr/>
        <w:tc>
          <w:tcPr>
            <w:tcW w:type="dxa" w:w="1314"/>
            <w:vAlign w:val="top"/>
            <w:tcMar>
              <w:top w:w="80" w:type="dxa"/>
              <w:bottom w:w="80" w:type="dxa"/>
              <w:start w:w="120" w:type="dxa"/>
              <w:end w:w="120" w:type="dxa"/>
            </w:tcMar>
          </w:tcPr>
          <w:p>
            <w:r>
              <w:rPr>
                <w:sz w:val="12"/>
              </w:rPr>
              <w:t>Batterie</w:t>
            </w:r>
          </w:p>
        </w:tc>
        <w:tc>
          <w:tcPr>
            <w:tcW w:type="dxa" w:w="2409"/>
            <w:vAlign w:val="top"/>
            <w:tcMar>
              <w:top w:w="80" w:type="dxa"/>
              <w:bottom w:w="80" w:type="dxa"/>
              <w:start w:w="120" w:type="dxa"/>
              <w:end w:w="120" w:type="dxa"/>
            </w:tcMar>
          </w:tcPr>
          <w:p>
            <w:r>
              <w:rPr>
                <w:sz w:val="12"/>
              </w:rPr>
              <w:t>Atteindre une charge donnée avant une échéance.</w:t>
            </w:r>
          </w:p>
        </w:tc>
        <w:tc>
          <w:tcPr>
            <w:tcW w:type="dxa" w:w="4016"/>
            <w:vAlign w:val="top"/>
            <w:tcMar>
              <w:top w:w="80" w:type="dxa"/>
              <w:bottom w:w="80" w:type="dxa"/>
              <w:start w:w="120" w:type="dxa"/>
              <w:end w:w="120" w:type="dxa"/>
            </w:tcMar>
          </w:tcPr>
          <w:p>
            <w:r>
              <w:rPr>
                <w:sz w:val="12"/>
              </w:rPr>
              <w:t>Exclure si l’exergie et la puissance mobilisables sous limites thermiques sont insuffisantes.</w:t>
            </w:r>
          </w:p>
        </w:tc>
        <w:tc>
          <w:tcPr>
            <w:tcW w:type="dxa" w:w="2629"/>
            <w:vAlign w:val="top"/>
            <w:tcMar>
              <w:top w:w="80" w:type="dxa"/>
              <w:bottom w:w="80" w:type="dxa"/>
              <w:start w:w="120" w:type="dxa"/>
              <w:end w:w="120" w:type="dxa"/>
            </w:tcMar>
          </w:tcPr>
          <w:p>
            <w:r>
              <w:rPr>
                <w:sz w:val="12"/>
              </w:rPr>
              <w:t>Sécurité, vieillissement et réseau englobant.</w:t>
            </w:r>
          </w:p>
        </w:tc>
      </w:tr>
      <w:tr>
        <w:trPr/>
        <w:tc>
          <w:tcPr>
            <w:tcW w:type="dxa" w:w="1314"/>
            <w:vAlign w:val="top"/>
            <w:tcMar>
              <w:top w:w="80" w:type="dxa"/>
              <w:bottom w:w="80" w:type="dxa"/>
              <w:start w:w="120" w:type="dxa"/>
              <w:end w:w="120" w:type="dxa"/>
            </w:tcMar>
          </w:tcPr>
          <w:p>
            <w:r>
              <w:rPr>
                <w:sz w:val="12"/>
              </w:rPr>
              <w:t>Vitre</w:t>
            </w:r>
          </w:p>
        </w:tc>
        <w:tc>
          <w:tcPr>
            <w:tcW w:type="dxa" w:w="2409"/>
            <w:vAlign w:val="top"/>
            <w:tcMar>
              <w:top w:w="80" w:type="dxa"/>
              <w:bottom w:w="80" w:type="dxa"/>
              <w:start w:w="120" w:type="dxa"/>
              <w:end w:w="120" w:type="dxa"/>
            </w:tcMar>
          </w:tcPr>
          <w:p>
            <w:r>
              <w:rPr>
                <w:sz w:val="12"/>
              </w:rPr>
              <w:t>Redevenir entière après rupture.</w:t>
            </w:r>
          </w:p>
        </w:tc>
        <w:tc>
          <w:tcPr>
            <w:tcW w:type="dxa" w:w="4016"/>
            <w:vAlign w:val="top"/>
            <w:tcMar>
              <w:top w:w="80" w:type="dxa"/>
              <w:bottom w:w="80" w:type="dxa"/>
              <w:start w:w="120" w:type="dxa"/>
              <w:end w:w="120" w:type="dxa"/>
            </w:tcMar>
          </w:tcPr>
          <w:p>
            <w:r>
              <w:rPr>
                <w:sz w:val="12"/>
              </w:rPr>
              <w:t>La simple pression à froid échoue ; refonte ou remplacement exigent une autre route exergétique.</w:t>
            </w:r>
          </w:p>
        </w:tc>
        <w:tc>
          <w:tcPr>
            <w:tcW w:type="dxa" w:w="2629"/>
            <w:vAlign w:val="top"/>
            <w:tcMar>
              <w:top w:w="80" w:type="dxa"/>
              <w:bottom w:w="80" w:type="dxa"/>
              <w:start w:w="120" w:type="dxa"/>
              <w:end w:w="120" w:type="dxa"/>
            </w:tcMar>
          </w:tcPr>
          <w:p>
            <w:r>
              <w:rPr>
                <w:sz w:val="12"/>
              </w:rPr>
              <w:t>Qualité optique, géométrie, matière et déchets.</w:t>
            </w:r>
          </w:p>
        </w:tc>
      </w:tr>
      <w:tr>
        <w:trPr/>
        <w:tc>
          <w:tcPr>
            <w:tcW w:type="dxa" w:w="1314"/>
            <w:vAlign w:val="top"/>
            <w:tcMar>
              <w:top w:w="80" w:type="dxa"/>
              <w:bottom w:w="80" w:type="dxa"/>
              <w:start w:w="120" w:type="dxa"/>
              <w:end w:w="120" w:type="dxa"/>
            </w:tcMar>
          </w:tcPr>
          <w:p>
            <w:r>
              <w:rPr>
                <w:sz w:val="12"/>
              </w:rPr>
              <w:t>Lego</w:t>
            </w:r>
          </w:p>
        </w:tc>
        <w:tc>
          <w:tcPr>
            <w:tcW w:type="dxa" w:w="2409"/>
            <w:vAlign w:val="top"/>
            <w:tcMar>
              <w:top w:w="80" w:type="dxa"/>
              <w:bottom w:w="80" w:type="dxa"/>
              <w:start w:w="120" w:type="dxa"/>
              <w:end w:w="120" w:type="dxa"/>
            </w:tcMar>
          </w:tcPr>
          <w:p>
            <w:r>
              <w:rPr>
                <w:sz w:val="12"/>
              </w:rPr>
              <w:t>Reconstruire le château.</w:t>
            </w:r>
          </w:p>
        </w:tc>
        <w:tc>
          <w:tcPr>
            <w:tcW w:type="dxa" w:w="4016"/>
            <w:vAlign w:val="top"/>
            <w:tcMar>
              <w:top w:w="80" w:type="dxa"/>
              <w:bottom w:w="80" w:type="dxa"/>
              <w:start w:w="120" w:type="dxa"/>
              <w:end w:w="120" w:type="dxa"/>
            </w:tcMar>
          </w:tcPr>
          <w:p>
            <w:r>
              <w:rPr>
                <w:sz w:val="12"/>
              </w:rPr>
              <w:t>L’exergie peut être largement suffisante tout en laissant le futur impossible si des pièces ou l’information manquent.</w:t>
            </w:r>
          </w:p>
        </w:tc>
        <w:tc>
          <w:tcPr>
            <w:tcW w:type="dxa" w:w="2629"/>
            <w:vAlign w:val="top"/>
            <w:tcMar>
              <w:top w:w="80" w:type="dxa"/>
              <w:bottom w:w="80" w:type="dxa"/>
              <w:start w:w="120" w:type="dxa"/>
              <w:end w:w="120" w:type="dxa"/>
            </w:tcMar>
          </w:tcPr>
          <w:p>
            <w:r>
              <w:rPr>
                <w:sz w:val="12"/>
              </w:rPr>
              <w:t>Topologie, inventaire et plan d’assemblage.</w:t>
            </w:r>
          </w:p>
        </w:tc>
      </w:tr>
      <w:tr>
        <w:trPr/>
        <w:tc>
          <w:tcPr>
            <w:tcW w:type="dxa" w:w="1314"/>
            <w:vAlign w:val="top"/>
            <w:tcMar>
              <w:top w:w="80" w:type="dxa"/>
              <w:bottom w:w="80" w:type="dxa"/>
              <w:start w:w="120" w:type="dxa"/>
              <w:end w:w="120" w:type="dxa"/>
            </w:tcMar>
          </w:tcPr>
          <w:p>
            <w:r>
              <w:rPr>
                <w:sz w:val="12"/>
              </w:rPr>
              <w:t>Plastique / planète</w:t>
            </w:r>
          </w:p>
        </w:tc>
        <w:tc>
          <w:tcPr>
            <w:tcW w:type="dxa" w:w="2409"/>
            <w:vAlign w:val="top"/>
            <w:tcMar>
              <w:top w:w="80" w:type="dxa"/>
              <w:bottom w:w="80" w:type="dxa"/>
              <w:start w:w="120" w:type="dxa"/>
              <w:end w:w="120" w:type="dxa"/>
            </w:tcMar>
          </w:tcPr>
          <w:p>
            <w:r>
              <w:rPr>
                <w:sz w:val="12"/>
              </w:rPr>
              <w:t>Recyclage effectif d’une masse dispersée.</w:t>
            </w:r>
          </w:p>
        </w:tc>
        <w:tc>
          <w:tcPr>
            <w:tcW w:type="dxa" w:w="4016"/>
            <w:vAlign w:val="top"/>
            <w:tcMar>
              <w:top w:w="80" w:type="dxa"/>
              <w:bottom w:w="80" w:type="dxa"/>
              <w:start w:w="120" w:type="dxa"/>
              <w:end w:w="120" w:type="dxa"/>
            </w:tcMar>
          </w:tcPr>
          <w:p>
            <w:r>
              <w:rPr>
                <w:sz w:val="12"/>
              </w:rPr>
              <w:t>Exclure si collecte, tri et transformation demandent plus d’exergie admissible que la filière ne peut en mobiliser.</w:t>
            </w:r>
          </w:p>
        </w:tc>
        <w:tc>
          <w:tcPr>
            <w:tcW w:type="dxa" w:w="2629"/>
            <w:vAlign w:val="top"/>
            <w:tcMar>
              <w:top w:w="80" w:type="dxa"/>
              <w:bottom w:w="80" w:type="dxa"/>
              <w:start w:w="120" w:type="dxa"/>
              <w:end w:w="120" w:type="dxa"/>
            </w:tcMar>
          </w:tcPr>
          <w:p>
            <w:r>
              <w:rPr>
                <w:sz w:val="12"/>
              </w:rPr>
              <w:t>Matière récupérée, rejets, réseau et bilan terrestre.</w:t>
            </w:r>
          </w:p>
        </w:tc>
      </w:tr>
    </w:tbl>
    <w:p>
      <w:pPr>
        <w:spacing w:before="100" w:after="50"/>
      </w:pPr>
      <w:r>
        <w:rPr>
          <w:b/>
          <w:color w:val="2F7DBE"/>
          <w:sz w:val="22"/>
        </w:rPr>
        <w:t>63.2 Le filtre minimal</w:t>
      </w:r>
    </w:p>
    <w:p>
      <w:pPr>
        <w:spacing w:after="20"/>
        <w:jc w:val="center"/>
      </w:pPr>
      <w:r>
        <w:rPr>
          <w:b/>
          <w:color w:val="1F4E79"/>
          <w:sz w:val="18"/>
        </w:rPr>
        <w:t>Rᵡᴄ = {y ∈ Rᴄ | ∃γ : x→y, Bᵣₑq(γ) ≤ Bᵐᵒᵇ_ᵃᵈᵐ(γ) et invariants(γ)=1}</w:t>
      </w:r>
    </w:p>
    <w:p>
      <w:pPr>
        <w:pStyle w:val="ListBullet"/>
        <w:spacing w:after="9"/>
      </w:pPr>
      <w:r>
        <w:rPr>
          <w:sz w:val="16"/>
        </w:rPr>
        <w:t>Bᵣₑq(γ) : exergie réellement requise par une trajectoire γ, pertes et irréversibilités du processus comprises.</w:t>
      </w:r>
    </w:p>
    <w:p>
      <w:pPr>
        <w:pStyle w:val="ListBullet"/>
        <w:spacing w:after="9"/>
      </w:pPr>
      <w:r>
        <w:rPr>
          <w:sz w:val="16"/>
        </w:rPr>
        <w:t>Bᵐᵒᵇ_ᵃᵈᵐ(γ) : exergie mobilisable sur le même horizon sans régression critique dans les cadres affectés.</w:t>
      </w:r>
    </w:p>
    <w:p>
      <w:pPr>
        <w:pStyle w:val="ListBullet"/>
        <w:spacing w:after="9"/>
      </w:pPr>
      <w:r>
        <w:rPr>
          <w:sz w:val="16"/>
        </w:rPr>
        <w:t>Si l’inégalité échoue pour toutes les trajectoires autorisées, y sort de l’ensemble des futurs physiquement admissibles.</w:t>
      </w:r>
    </w:p>
    <w:p>
      <w:pPr>
        <w:pStyle w:val="ListBullet"/>
        <w:spacing w:after="9"/>
      </w:pPr>
      <w:r>
        <w:rPr>
          <w:sz w:val="16"/>
        </w:rPr>
        <w:t>Si les grandeurs ou une trajectoire possible manquent, le verdict est NON_MESURÉ — jamais automatiquement FAIL ou PASS.</w:t>
      </w:r>
    </w:p>
    <w:p>
      <w:pPr>
        <w:spacing w:before="100" w:after="50"/>
      </w:pPr>
      <w:r>
        <w:rPr>
          <w:b/>
          <w:color w:val="2F7DBE"/>
          <w:sz w:val="22"/>
        </w:rPr>
        <w:t>63.3 Pourquoi c’est une clé, mais pas toute la serrure</w:t>
      </w:r>
    </w:p>
    <w:p>
      <w:pPr>
        <w:pStyle w:val="ListBullet"/>
        <w:spacing w:after="9"/>
      </w:pPr>
      <w:r>
        <w:rPr>
          <w:sz w:val="16"/>
        </w:rPr>
        <w:t>Clé physique : l’exergie relie environnement, irréversibilité, puissance, durée et possibilité réelle de transformation.</w:t>
      </w:r>
    </w:p>
    <w:p>
      <w:pPr>
        <w:pStyle w:val="ListBullet"/>
        <w:spacing w:after="9"/>
      </w:pPr>
      <w:r>
        <w:rPr>
          <w:sz w:val="16"/>
        </w:rPr>
        <w:t>Clé du filtre négatif : elle élimine en amont des futurs impossibles sans devoir déterminer immédiatement le meilleur futur.</w:t>
      </w:r>
    </w:p>
    <w:p>
      <w:pPr>
        <w:pStyle w:val="ListBullet"/>
        <w:spacing w:after="9"/>
      </w:pPr>
      <w:r>
        <w:rPr>
          <w:sz w:val="16"/>
        </w:rPr>
        <w:t>Borne de suffisance : une exergie disponible ne recrée ni une pièce absente, ni une information perdue, ni une topologie impossible, ni une identité détruite.</w:t>
      </w:r>
    </w:p>
    <w:p>
      <w:pPr>
        <w:pStyle w:val="ListBullet"/>
        <w:spacing w:after="9"/>
      </w:pPr>
      <w:r>
        <w:rPr>
          <w:sz w:val="16"/>
        </w:rPr>
        <w:t>Aucune insertion brute de joules dans S : l’exergie filtre Rᴄ et caractérise les chemins ; S conserve ses proxys normalisés propres au cadre.</w:t>
      </w:r>
    </w:p>
    <w:p>
      <w:pPr>
        <w:spacing w:before="100" w:after="50"/>
      </w:pPr>
      <w:r>
        <w:rPr>
          <w:b/>
          <w:color w:val="2F7DBE"/>
          <w:sz w:val="22"/>
        </w:rPr>
        <w:t>63.4 Calcul multicadre obligatoire</w:t>
      </w:r>
    </w:p>
    <w:p>
      <w:pPr>
        <w:pStyle w:val="ListBullet"/>
        <w:spacing w:after="9"/>
      </w:pPr>
      <w:r>
        <w:rPr>
          <w:sz w:val="16"/>
        </w:rPr>
        <w:t>Local : PASS qualitatif — l’exergie borne des transformations, mais ne remplace ni fonction ni identité.</w:t>
      </w:r>
    </w:p>
    <w:p>
      <w:pPr>
        <w:pStyle w:val="ListBullet"/>
        <w:spacing w:after="9"/>
      </w:pPr>
      <w:r>
        <w:rPr>
          <w:sz w:val="16"/>
        </w:rPr>
        <w:t>Voisins et englobant : PASS conceptuel — ils déterminent la source, les pertes, la puissance et l’exergie admissiblement mobilisable.</w:t>
      </w:r>
    </w:p>
    <w:p>
      <w:pPr>
        <w:pStyle w:val="ListBullet"/>
        <w:spacing w:after="9"/>
      </w:pPr>
      <w:r>
        <w:rPr>
          <w:sz w:val="16"/>
        </w:rPr>
        <w:t>Planète : PASS comme terminal terrestre d’audit — une source locale n’est admissible qu’avec ses effets matériels et exergétiques supérieurs.</w:t>
      </w:r>
    </w:p>
    <w:p>
      <w:pPr>
        <w:pStyle w:val="ListBullet"/>
        <w:spacing w:after="9"/>
      </w:pPr>
      <w:r>
        <w:rPr>
          <w:sz w:val="16"/>
        </w:rPr>
        <w:t>Exergies requises, mobilisables, trajectoires concurrentes et gain prédictif : NON_MESURÉS sans processus et instruments préfixés.</w:t>
      </w:r>
    </w:p>
    <w:p>
      <w:pPr>
        <w:pStyle w:val="ListBullet"/>
        <w:spacing w:after="9"/>
      </w:pPr>
      <w:r>
        <w:rPr>
          <w:sz w:val="16"/>
        </w:rPr>
        <w:t>Correspondance exacte avec le corpus canonique : NON_VÉRIFIÉE dans ce passage.</w:t>
      </w:r>
    </w:p>
    <w:p>
      <w:pPr>
        <w:spacing w:after="20"/>
        <w:jc w:val="center"/>
      </w:pPr>
      <w:r>
        <w:rPr>
          <w:b/>
          <w:color w:val="1F4E79"/>
          <w:sz w:val="18"/>
        </w:rPr>
        <w:t>S = (β × ΔΦ) / (1 + T + σ) ; S_global = NON_MESURÉ</w:t>
      </w:r>
    </w:p>
    <w:tbl>
      <w:tblPr>
        <w:tblW w:type="dxa" w:w="10368"/>
        <w:jc w:val="left"/>
        <w:tblLayout w:type="fixed"/>
        <w:tblLook w:firstColumn="1" w:firstRow="1" w:lastColumn="0" w:lastRow="0" w:noHBand="0" w:noVBand="1" w:val="04A0"/>
        <w:tblInd w:type="dxa" w:w="120"/>
      </w:tblPr>
      <w:tblGrid>
        <w:gridCol w:w="10368"/>
      </w:tblGrid>
      <w:tr>
        <w:trPr/>
        <w:tc>
          <w:tcPr>
            <w:tcW w:type="dxa" w:w="10368"/>
            <w:vAlign w:val="center"/>
            <w:shd w:fill="F4CCCC"/>
            <w:tcMar>
              <w:top w:w="80" w:type="dxa"/>
              <w:bottom w:w="80" w:type="dxa"/>
              <w:start w:w="120" w:type="dxa"/>
              <w:end w:w="120" w:type="dxa"/>
            </w:tcMar>
          </w:tcPr>
          <w:p>
            <w:pPr>
              <w:spacing w:after="0"/>
            </w:pPr>
            <w:r>
              <w:rPr>
                <w:b/>
                <w:color w:val="C62828"/>
                <w:sz w:val="17"/>
              </w:rPr>
              <w:t>VERROU — Utiliser l’exergie comme filtre physique amont : aucun futur n’est admissible sans au moins une trajectoire exergétiquement réalisable et multicadre. Mais l’exergie disponible ne prouve jamais seule la faisabilité fonctionnelle, informationnelle ou identitaire.</w:t>
            </w:r>
          </w:p>
        </w:tc>
      </w:tr>
    </w:tbl>
    <w:p>
      <w:pPr>
        <w:pageBreakBefore/>
        <w:spacing w:before="100" w:after="50"/>
      </w:pPr>
      <w:r>
        <w:rPr>
          <w:b/>
          <w:color w:val="2F7DBE"/>
          <w:sz w:val="26"/>
        </w:rPr>
        <w:t>SECTION 64 — PRIORITÉ 1 — Challenge indépendant 4 IA × 4 angles</w:t>
      </w:r>
    </w:p>
    <w:tbl>
      <w:tblPr>
        <w:tblW w:type="auto" w:w="0"/>
        <w:tblLook w:firstColumn="1" w:firstRow="1" w:lastColumn="0" w:lastRow="0" w:noHBand="0" w:noVBand="1" w:val="04A0"/>
      </w:tblPr>
      <w:tblGrid>
        <w:gridCol w:w="10368"/>
      </w:tblGrid>
      <w:tr>
        <w:tc>
          <w:tcPr>
            <w:tcW w:type="dxa" w:w="10368"/>
            <w:vAlign w:val="center"/>
            <w:shd w:fill="D9EAD3"/>
          </w:tcPr>
          <w:p>
            <w:pPr>
              <w:spacing w:after="0"/>
            </w:pPr>
            <w:r>
              <w:rPr>
                <w:b/>
                <w:color w:val="1F4E79"/>
                <w:sz w:val="17"/>
              </w:rPr>
              <w:t>MISSION RÉTABLIE — Le prochain travail prioritaire n’est pas une nouvelle dérivation solitaire. Le même dossier gelé doit être challengé par quatre IA, quatre fois chacune, sous quatre angles indépendants : 16 analyses avant synthèse.</w:t>
            </w:r>
          </w:p>
        </w:tc>
      </w:tr>
    </w:tbl>
    <w:p>
      <w:pPr>
        <w:spacing w:before="100" w:after="50"/>
      </w:pPr>
      <w:r>
        <w:rPr>
          <w:b/>
          <w:color w:val="2F7DBE"/>
          <w:sz w:val="22"/>
        </w:rPr>
        <w:t>64.1 Plan factoriel obligatoire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1728"/>
            <w:shd w:fill="D9EAF7"/>
            <w:vAlign w:val="center"/>
          </w:tcPr>
          <w:p>
            <w:pPr>
              <w:jc w:val="center"/>
            </w:pPr>
            <w:r>
              <w:rPr>
                <w:b/>
                <w:color w:val="1F4E79"/>
                <w:sz w:val="13"/>
              </w:rPr>
              <w:t>IA</w:t>
            </w:r>
          </w:p>
        </w:tc>
        <w:tc>
          <w:tcPr>
            <w:tcW w:type="dxa" w:w="2002"/>
            <w:shd w:fill="D9EAF7"/>
            <w:vAlign w:val="center"/>
          </w:tcPr>
          <w:p>
            <w:pPr>
              <w:jc w:val="center"/>
            </w:pPr>
            <w:r>
              <w:rPr>
                <w:b/>
                <w:color w:val="1F4E79"/>
                <w:sz w:val="13"/>
              </w:rPr>
              <w:t>Angle 1</w:t>
              <w:br/>
              <w:t>Évidence</w:t>
            </w:r>
          </w:p>
        </w:tc>
        <w:tc>
          <w:tcPr>
            <w:tcW w:type="dxa" w:w="2002"/>
            <w:shd w:fill="D9EAF7"/>
            <w:vAlign w:val="center"/>
          </w:tcPr>
          <w:p>
            <w:pPr>
              <w:jc w:val="center"/>
            </w:pPr>
            <w:r>
              <w:rPr>
                <w:b/>
                <w:color w:val="1F4E79"/>
                <w:sz w:val="13"/>
              </w:rPr>
              <w:t>Angle 2</w:t>
              <w:br/>
              <w:t>Falsification</w:t>
            </w:r>
          </w:p>
        </w:tc>
        <w:tc>
          <w:tcPr>
            <w:tcW w:type="dxa" w:w="2002"/>
            <w:shd w:fill="D9EAF7"/>
            <w:vAlign w:val="center"/>
          </w:tcPr>
          <w:p>
            <w:pPr>
              <w:jc w:val="center"/>
            </w:pPr>
            <w:r>
              <w:rPr>
                <w:b/>
                <w:color w:val="1F4E79"/>
                <w:sz w:val="13"/>
              </w:rPr>
              <w:t>Angle 3</w:t>
              <w:br/>
              <w:t>Multicadre</w:t>
            </w:r>
          </w:p>
        </w:tc>
        <w:tc>
          <w:tcPr>
            <w:tcW w:type="dxa" w:w="2002"/>
            <w:shd w:fill="D9EAF7"/>
            <w:vAlign w:val="center"/>
          </w:tcPr>
          <w:p>
            <w:pPr>
              <w:jc w:val="center"/>
            </w:pPr>
            <w:r>
              <w:rPr>
                <w:b/>
                <w:color w:val="1F4E79"/>
                <w:sz w:val="13"/>
              </w:rPr>
              <w:t>Angle 4</w:t>
              <w:br/>
              <w:t>SOTA / test</w:t>
            </w:r>
          </w:p>
        </w:tc>
      </w:tr>
      <w:tr>
        <w:tc>
          <w:tcPr>
            <w:tcW w:type="dxa" w:w="1728"/>
            <w:vAlign w:val="center"/>
          </w:tcPr>
          <w:p>
            <w:pPr>
              <w:jc w:val="left"/>
            </w:pPr>
            <w:r>
              <w:rPr>
                <w:b/>
                <w:sz w:val="13"/>
              </w:rPr>
              <w:t>Codex / OpenAI</w:t>
            </w:r>
          </w:p>
        </w:tc>
        <w:tc>
          <w:tcPr>
            <w:tcW w:type="dxa" w:w="2002"/>
            <w:vAlign w:val="center"/>
          </w:tcPr>
          <w:p>
            <w:pPr>
              <w:jc w:val="center"/>
            </w:pPr>
            <w:r>
              <w:rPr>
                <w:sz w:val="13"/>
              </w:rPr>
              <w:t>RUN C1</w:t>
            </w:r>
          </w:p>
        </w:tc>
        <w:tc>
          <w:tcPr>
            <w:tcW w:type="dxa" w:w="2002"/>
            <w:vAlign w:val="center"/>
          </w:tcPr>
          <w:p>
            <w:pPr>
              <w:jc w:val="center"/>
            </w:pPr>
            <w:r>
              <w:rPr>
                <w:sz w:val="13"/>
              </w:rPr>
              <w:t>RUN C2</w:t>
            </w:r>
          </w:p>
        </w:tc>
        <w:tc>
          <w:tcPr>
            <w:tcW w:type="dxa" w:w="2002"/>
            <w:vAlign w:val="center"/>
          </w:tcPr>
          <w:p>
            <w:pPr>
              <w:jc w:val="center"/>
            </w:pPr>
            <w:r>
              <w:rPr>
                <w:sz w:val="13"/>
              </w:rPr>
              <w:t>RUN C3</w:t>
            </w:r>
          </w:p>
        </w:tc>
        <w:tc>
          <w:tcPr>
            <w:tcW w:type="dxa" w:w="2002"/>
            <w:vAlign w:val="center"/>
          </w:tcPr>
          <w:p>
            <w:pPr>
              <w:jc w:val="center"/>
            </w:pPr>
            <w:r>
              <w:rPr>
                <w:sz w:val="13"/>
              </w:rPr>
              <w:t>RUN C4</w:t>
            </w:r>
          </w:p>
        </w:tc>
      </w:tr>
      <w:tr>
        <w:tc>
          <w:tcPr>
            <w:tcW w:type="dxa" w:w="1728"/>
            <w:vAlign w:val="center"/>
          </w:tcPr>
          <w:p>
            <w:pPr>
              <w:jc w:val="left"/>
            </w:pPr>
            <w:r>
              <w:rPr>
                <w:b/>
                <w:sz w:val="13"/>
              </w:rPr>
              <w:t>Gemini</w:t>
            </w:r>
          </w:p>
        </w:tc>
        <w:tc>
          <w:tcPr>
            <w:tcW w:type="dxa" w:w="2002"/>
            <w:vAlign w:val="center"/>
          </w:tcPr>
          <w:p>
            <w:pPr>
              <w:jc w:val="center"/>
            </w:pPr>
            <w:r>
              <w:rPr>
                <w:sz w:val="13"/>
              </w:rPr>
              <w:t>RUN G1</w:t>
            </w:r>
          </w:p>
        </w:tc>
        <w:tc>
          <w:tcPr>
            <w:tcW w:type="dxa" w:w="2002"/>
            <w:vAlign w:val="center"/>
          </w:tcPr>
          <w:p>
            <w:pPr>
              <w:jc w:val="center"/>
            </w:pPr>
            <w:r>
              <w:rPr>
                <w:sz w:val="13"/>
              </w:rPr>
              <w:t>RUN G2</w:t>
            </w:r>
          </w:p>
        </w:tc>
        <w:tc>
          <w:tcPr>
            <w:tcW w:type="dxa" w:w="2002"/>
            <w:vAlign w:val="center"/>
          </w:tcPr>
          <w:p>
            <w:pPr>
              <w:jc w:val="center"/>
            </w:pPr>
            <w:r>
              <w:rPr>
                <w:sz w:val="13"/>
              </w:rPr>
              <w:t>RUN G3</w:t>
            </w:r>
          </w:p>
        </w:tc>
        <w:tc>
          <w:tcPr>
            <w:tcW w:type="dxa" w:w="2002"/>
            <w:vAlign w:val="center"/>
          </w:tcPr>
          <w:p>
            <w:pPr>
              <w:jc w:val="center"/>
            </w:pPr>
            <w:r>
              <w:rPr>
                <w:sz w:val="13"/>
              </w:rPr>
              <w:t>RUN G4</w:t>
            </w:r>
          </w:p>
        </w:tc>
      </w:tr>
      <w:tr>
        <w:tc>
          <w:tcPr>
            <w:tcW w:type="dxa" w:w="1728"/>
            <w:vAlign w:val="center"/>
          </w:tcPr>
          <w:p>
            <w:pPr>
              <w:jc w:val="left"/>
            </w:pPr>
            <w:r>
              <w:rPr>
                <w:b/>
                <w:sz w:val="13"/>
              </w:rPr>
              <w:t>Grok</w:t>
            </w:r>
          </w:p>
        </w:tc>
        <w:tc>
          <w:tcPr>
            <w:tcW w:type="dxa" w:w="2002"/>
            <w:vAlign w:val="center"/>
          </w:tcPr>
          <w:p>
            <w:pPr>
              <w:jc w:val="center"/>
            </w:pPr>
            <w:r>
              <w:rPr>
                <w:sz w:val="13"/>
              </w:rPr>
              <w:t>RUN X1</w:t>
            </w:r>
          </w:p>
        </w:tc>
        <w:tc>
          <w:tcPr>
            <w:tcW w:type="dxa" w:w="2002"/>
            <w:vAlign w:val="center"/>
          </w:tcPr>
          <w:p>
            <w:pPr>
              <w:jc w:val="center"/>
            </w:pPr>
            <w:r>
              <w:rPr>
                <w:sz w:val="13"/>
              </w:rPr>
              <w:t>RUN X2</w:t>
            </w:r>
          </w:p>
        </w:tc>
        <w:tc>
          <w:tcPr>
            <w:tcW w:type="dxa" w:w="2002"/>
            <w:vAlign w:val="center"/>
          </w:tcPr>
          <w:p>
            <w:pPr>
              <w:jc w:val="center"/>
            </w:pPr>
            <w:r>
              <w:rPr>
                <w:sz w:val="13"/>
              </w:rPr>
              <w:t>RUN X3</w:t>
            </w:r>
          </w:p>
        </w:tc>
        <w:tc>
          <w:tcPr>
            <w:tcW w:type="dxa" w:w="2002"/>
            <w:vAlign w:val="center"/>
          </w:tcPr>
          <w:p>
            <w:pPr>
              <w:jc w:val="center"/>
            </w:pPr>
            <w:r>
              <w:rPr>
                <w:sz w:val="13"/>
              </w:rPr>
              <w:t>RUN X4</w:t>
            </w:r>
          </w:p>
        </w:tc>
      </w:tr>
      <w:tr>
        <w:tc>
          <w:tcPr>
            <w:tcW w:type="dxa" w:w="1728"/>
            <w:vAlign w:val="center"/>
          </w:tcPr>
          <w:p>
            <w:pPr>
              <w:jc w:val="left"/>
            </w:pPr>
            <w:r>
              <w:rPr>
                <w:b/>
                <w:sz w:val="13"/>
              </w:rPr>
              <w:t>Claude / Claude Code</w:t>
            </w:r>
          </w:p>
        </w:tc>
        <w:tc>
          <w:tcPr>
            <w:tcW w:type="dxa" w:w="2002"/>
            <w:vAlign w:val="center"/>
          </w:tcPr>
          <w:p>
            <w:pPr>
              <w:jc w:val="center"/>
            </w:pPr>
            <w:r>
              <w:rPr>
                <w:sz w:val="13"/>
              </w:rPr>
              <w:t>RUN A1</w:t>
            </w:r>
          </w:p>
        </w:tc>
        <w:tc>
          <w:tcPr>
            <w:tcW w:type="dxa" w:w="2002"/>
            <w:vAlign w:val="center"/>
          </w:tcPr>
          <w:p>
            <w:pPr>
              <w:jc w:val="center"/>
            </w:pPr>
            <w:r>
              <w:rPr>
                <w:sz w:val="13"/>
              </w:rPr>
              <w:t>RUN A2</w:t>
            </w:r>
          </w:p>
        </w:tc>
        <w:tc>
          <w:tcPr>
            <w:tcW w:type="dxa" w:w="2002"/>
            <w:vAlign w:val="center"/>
          </w:tcPr>
          <w:p>
            <w:pPr>
              <w:jc w:val="center"/>
            </w:pPr>
            <w:r>
              <w:rPr>
                <w:sz w:val="13"/>
              </w:rPr>
              <w:t>RUN A3</w:t>
            </w:r>
          </w:p>
        </w:tc>
        <w:tc>
          <w:tcPr>
            <w:tcW w:type="dxa" w:w="2002"/>
            <w:vAlign w:val="center"/>
          </w:tcPr>
          <w:p>
            <w:pPr>
              <w:jc w:val="center"/>
            </w:pPr>
            <w:r>
              <w:rPr>
                <w:sz w:val="13"/>
              </w:rPr>
              <w:t>RUN A4</w:t>
            </w:r>
          </w:p>
        </w:tc>
      </w:tr>
    </w:tbl>
    <w:p>
      <w:pPr>
        <w:pStyle w:val="ListBullet"/>
        <w:spacing w:after="9"/>
      </w:pPr>
      <w:r>
        <w:rPr>
          <w:sz w:val="16"/>
        </w:rPr>
        <w:t>Chaque IA reçoit exactement les mêmes pistes, données, références, hypothèses, verrous, cas simples et critères de décision.</w:t>
      </w:r>
    </w:p>
    <w:p>
      <w:pPr>
        <w:pStyle w:val="ListBullet"/>
        <w:spacing w:after="9"/>
      </w:pPr>
      <w:r>
        <w:rPr>
          <w:sz w:val="16"/>
        </w:rPr>
        <w:t>Chaque angle est exécuté dans une session indépendante ; aucune IA ne lit les sorties précédentes avant d’avoir remis ses quatre rapports.</w:t>
      </w:r>
    </w:p>
    <w:p>
      <w:pPr>
        <w:pStyle w:val="ListBullet"/>
        <w:spacing w:after="9"/>
      </w:pPr>
      <w:r>
        <w:rPr>
          <w:sz w:val="16"/>
        </w:rPr>
        <w:t>Il ne s’agit pas d’attribuer un seul angle à chaque IA : chacune réalise les quatre angles. Total attendu : 4 × 4 = 16 rapports bruts.</w:t>
      </w:r>
    </w:p>
    <w:p>
      <w:pPr>
        <w:spacing w:before="100" w:after="50"/>
      </w:pPr>
      <w:r>
        <w:rPr>
          <w:b/>
          <w:color w:val="2F7DBE"/>
          <w:sz w:val="22"/>
        </w:rPr>
        <w:t>64.2 Les quatre angles — mêmes pistes, questions différentes</w:t>
      </w:r>
    </w:p>
    <w:p>
      <w:pPr>
        <w:pStyle w:val="ListBullet"/>
        <w:spacing w:after="9"/>
      </w:pPr>
      <w:r>
        <w:rPr>
          <w:sz w:val="16"/>
        </w:rPr>
        <w:t>ANGLE 1 — ÉVIDENCE / DETTE MINIMALE : partir d’objets ordinaires, chercher l’explication la plus simple, éliminer l’impossible et signaler ce que le groupe a compliqué inutilement.</w:t>
      </w:r>
    </w:p>
    <w:p>
      <w:pPr>
        <w:pStyle w:val="ListBullet"/>
        <w:spacing w:after="9"/>
      </w:pPr>
      <w:r>
        <w:rPr>
          <w:sz w:val="16"/>
        </w:rPr>
        <w:t>ANGLE 2 — FALSIFICATION ADVERSE : chercher les contre-exemples, ambiguïtés, circularités, doubles comptes, violations d’invariants et cas où la piste produit une dette supérieure.</w:t>
      </w:r>
    </w:p>
    <w:p>
      <w:pPr>
        <w:pStyle w:val="ListBullet"/>
        <w:spacing w:after="9"/>
      </w:pPr>
      <w:r>
        <w:rPr>
          <w:sz w:val="16"/>
        </w:rPr>
        <w:t>ANGLE 3 — CAUSALITÉ MULTICADRE : auditer local, voisins, premier englobant relationnel, cadres supérieurs et planète ; séparer dette, compensation, temps, exergie et irréversibilité.</w:t>
      </w:r>
    </w:p>
    <w:p>
      <w:pPr>
        <w:pStyle w:val="ListBullet"/>
        <w:spacing w:after="9"/>
      </w:pPr>
      <w:r>
        <w:rPr>
          <w:sz w:val="16"/>
        </w:rPr>
        <w:t>ANGLE 4 — ÉTAT DE L’ART / EXPÉRIENCE : comparer aux méthodes externes pertinentes et proposer le test discriminant minimal, ses proxys, son seuil d’échec et ses données nécessaires.</w:t>
      </w:r>
    </w:p>
    <w:p>
      <w:pPr>
        <w:spacing w:before="100" w:after="50"/>
      </w:pPr>
      <w:r>
        <w:rPr>
          <w:b/>
          <w:color w:val="2F7DBE"/>
          <w:sz w:val="22"/>
        </w:rPr>
        <w:t>64.3 Dossier gelé et sortie commune</w:t>
      </w:r>
    </w:p>
    <w:p>
      <w:pPr>
        <w:pStyle w:val="ListBullet"/>
        <w:spacing w:after="9"/>
      </w:pPr>
      <w:r>
        <w:rPr>
          <w:sz w:val="16"/>
        </w:rPr>
        <w:t>Entrée gelée : équation S = (β × ΔΦ) / (1 + T + σ), filtre négatif, déficit d’atteignabilité, double référence E⁰/F†, dette propre par cadre, compensation supérieure et porte d’adoption multicadre.</w:t>
      </w:r>
    </w:p>
    <w:p>
      <w:pPr>
        <w:pStyle w:val="ListBullet"/>
        <w:spacing w:after="9"/>
      </w:pPr>
      <w:r>
        <w:rPr>
          <w:sz w:val="16"/>
        </w:rPr>
        <w:t>Sortie obligatoire de chaque run : thèse comprise ; bornes ; PASS / FAIL / NON_MESURÉ ; contre-exemple le plus fort ; alternative plus simple ; test falsifiant ; effets locaux, voisins, supérieurs et planétaires.</w:t>
      </w:r>
    </w:p>
    <w:p>
      <w:pPr>
        <w:pStyle w:val="ListBullet"/>
        <w:spacing w:after="9"/>
      </w:pPr>
      <w:r>
        <w:rPr>
          <w:sz w:val="16"/>
        </w:rPr>
        <w:t>Aucun score S numérique sans proxys calibrés. S_global = NON_MESURÉ tant que les mesures, normalisations et incertitudes ne sont pas préfixées.</w:t>
      </w:r>
    </w:p>
    <w:p>
      <w:pPr>
        <w:pStyle w:val="ListBullet"/>
        <w:spacing w:after="9"/>
      </w:pPr>
      <w:r>
        <w:rPr>
          <w:sz w:val="16"/>
        </w:rPr>
        <w:t>Les formulations identitaires et l’ordre des pistes sont permutés entre les runs pour réduire l’ancrage, sans modifier le contenu scientifique ni les critères.</w:t>
      </w:r>
    </w:p>
    <w:p>
      <w:pPr>
        <w:spacing w:before="100" w:after="50"/>
      </w:pPr>
      <w:r>
        <w:rPr>
          <w:b/>
          <w:color w:val="2F7DBE"/>
          <w:sz w:val="22"/>
        </w:rPr>
        <w:t>64.4 Voie Claude autonome — Claude Code</w:t>
      </w:r>
    </w:p>
    <w:p>
      <w:pPr>
        <w:pStyle w:val="ListBullet"/>
        <w:spacing w:after="9"/>
      </w:pPr>
      <w:r>
        <w:rPr>
          <w:sz w:val="16"/>
        </w:rPr>
        <w:t>Claude exécute ses quatre runs en autonomie dans un espace de travail isolé, avec dossier d’entrée en lecture seule, journal horodaté et sorties séparées A1 à A4.</w:t>
      </w:r>
    </w:p>
    <w:p>
      <w:pPr>
        <w:pStyle w:val="ListBullet"/>
        <w:spacing w:after="9"/>
      </w:pPr>
      <w:r>
        <w:rPr>
          <w:sz w:val="16"/>
        </w:rPr>
        <w:t>Claude Code peut produire scripts, contrôles, matrices et propositions, mais ne modifie ni le corpus canonique, ni le document maître, ni un moteur adopté avant l’arbitrage final.</w:t>
      </w:r>
    </w:p>
    <w:p>
      <w:pPr>
        <w:pStyle w:val="ListBullet"/>
        <w:spacing w:after="9"/>
      </w:pPr>
      <w:r>
        <w:rPr>
          <w:sz w:val="16"/>
        </w:rPr>
        <w:t>Tout changement proposé reste expérimental : diff explicite, données et commandes reproductibles, résultats bruts conservés, aucun écrasement des états de référence.</w:t>
      </w:r>
    </w:p>
    <w:p>
      <w:pPr>
        <w:pStyle w:val="ListBullet"/>
        <w:spacing w:after="9"/>
      </w:pPr>
      <w:r>
        <w:rPr>
          <w:sz w:val="16"/>
        </w:rPr>
        <w:t>L’autonomie de Claude concerne l’exploration et la falsification ; l’adoption reste soumise à la même porte multicadre que toutes les autres routes.</w:t>
      </w:r>
    </w:p>
    <w:p>
      <w:pPr>
        <w:spacing w:before="100" w:after="50"/>
      </w:pPr>
      <w:r>
        <w:rPr>
          <w:b/>
          <w:color w:val="2F7DBE"/>
          <w:sz w:val="22"/>
        </w:rPr>
        <w:t>64.5 Synthèse sans vote majoritaire</w:t>
      </w:r>
    </w:p>
    <w:p>
      <w:pPr>
        <w:pStyle w:val="ListBullet"/>
        <w:spacing w:after="9"/>
      </w:pPr>
      <w:r>
        <w:rPr>
          <w:sz w:val="16"/>
        </w:rPr>
        <w:t>Construire une matrice des convergences, divergences, contre-exemples uniques, cadres absents et propositions non dominées sur les 16 rapports.</w:t>
      </w:r>
    </w:p>
    <w:p>
      <w:pPr>
        <w:pStyle w:val="ListBullet"/>
        <w:spacing w:after="9"/>
      </w:pPr>
      <w:r>
        <w:rPr>
          <w:sz w:val="16"/>
        </w:rPr>
        <w:t>Une convergence 16/16 est un indice de robustesse, pas une preuve. Une objection unique valide peut bloquer les quinze autres conclusions.</w:t>
      </w:r>
    </w:p>
    <w:p>
      <w:pPr>
        <w:pStyle w:val="ListBullet"/>
        <w:spacing w:after="9"/>
      </w:pPr>
      <w:r>
        <w:rPr>
          <w:sz w:val="16"/>
        </w:rPr>
        <w:t>Une route nouvelle ne remplace l’actuelle que si elle franchit les invariants critiques et domine la trajectoire actuelle sans régression multicadre, dette de transition comprise.</w:t>
      </w:r>
    </w:p>
    <w:p>
      <w:pPr>
        <w:pStyle w:val="ListBullet"/>
        <w:spacing w:after="9"/>
      </w:pPr>
      <w:r>
        <w:rPr>
          <w:sz w:val="16"/>
        </w:rPr>
        <w:t>Tout cadre causal affecté mais absent ou non mesuré maintient la route au statut EXPÉRIMENTAL / NON_MESURÉ.</w:t>
      </w:r>
    </w:p>
    <w:p>
      <w:pPr>
        <w:spacing w:before="100" w:after="50"/>
      </w:pPr>
      <w:r>
        <w:rPr>
          <w:b/>
          <w:color w:val="2F7DBE"/>
          <w:sz w:val="22"/>
        </w:rPr>
        <w:t>64.6 Calcul de cohérence de la mission</w:t>
      </w:r>
    </w:p>
    <w:p>
      <w:pPr>
        <w:pStyle w:val="ListBullet"/>
        <w:spacing w:after="9"/>
      </w:pPr>
      <w:r>
        <w:rPr>
          <w:sz w:val="16"/>
        </w:rPr>
        <w:t>Local : PASS structurel — même objet, mêmes pistes et mêmes critères pour les quatre IA.</w:t>
      </w:r>
    </w:p>
    <w:p>
      <w:pPr>
        <w:pStyle w:val="ListBullet"/>
        <w:spacing w:after="9"/>
      </w:pPr>
      <w:r>
        <w:rPr>
          <w:sz w:val="16"/>
        </w:rPr>
        <w:t>Pair : PASS structurel — symétrie 4 × 4 ; aucune IA n’est avantagée par un angle exclusif ou par la lecture des autres sorties.</w:t>
      </w:r>
    </w:p>
    <w:p>
      <w:pPr>
        <w:pStyle w:val="ListBullet"/>
        <w:spacing w:after="9"/>
      </w:pPr>
      <w:r>
        <w:rPr>
          <w:sz w:val="16"/>
        </w:rPr>
        <w:t>Supérieur : PASS méthodologique — la synthèse conserve les objections minoritaires et interdit la compensation d’une perte critique par une moyenne.</w:t>
      </w:r>
    </w:p>
    <w:p>
      <w:pPr>
        <w:pStyle w:val="ListBullet"/>
        <w:spacing w:after="9"/>
      </w:pPr>
      <w:r>
        <w:rPr>
          <w:sz w:val="16"/>
        </w:rPr>
        <w:t>Planète et performances réelles : NON_MESURÉES tant que les seize runs et leurs effets matériels, énergétiques et décisionnels ne sont pas exécutés.</w:t>
      </w:r>
    </w:p>
    <w:p>
      <w:pPr>
        <w:spacing w:after="20"/>
        <w:jc w:val="center"/>
      </w:pPr>
      <w:r>
        <w:rPr>
          <w:b/>
          <w:color w:val="1F4E79"/>
          <w:sz w:val="18"/>
        </w:rPr>
        <w:t>S = (β × ΔΦ) / (1 + T + σ) ; S_global = NON_MESURÉ</w:t>
      </w:r>
    </w:p>
    <w:tbl>
      <w:tblPr>
        <w:tblW w:type="auto" w:w="0"/>
        <w:tblLook w:firstColumn="1" w:firstRow="1" w:lastColumn="0" w:lastRow="0" w:noHBand="0" w:noVBand="1" w:val="04A0"/>
      </w:tblPr>
      <w:tblGrid>
        <w:gridCol w:w="10368"/>
      </w:tblGrid>
      <w:tr>
        <w:tc>
          <w:tcPr>
            <w:tcW w:type="dxa" w:w="10368"/>
            <w:vAlign w:val="center"/>
            <w:shd w:fill="F4CCCC"/>
          </w:tcPr>
          <w:p>
            <w:pPr>
              <w:spacing w:after="0"/>
            </w:pPr>
            <w:r>
              <w:rPr>
                <w:b/>
                <w:color w:val="C62828"/>
                <w:sz w:val="17"/>
              </w:rPr>
              <w:t>VERROU PRIORITÉ 1 — 16 analyses indépendantes avant synthèse : Codex, Gemini, Grok et Claude × évidence, falsification, causalité multicadre et SOTA/test. Aucun vote ne remplace la preuve ; aucune IA ne modifie seule la route adoptée.</w:t>
            </w:r>
          </w:p>
        </w:tc>
      </w:tr>
    </w:tbl>
    <w:sectPr w:rsidR="00FC693F" w:rsidRPr="0006063C" w:rsidSect="00034616">
      <w:pgSz w:w="12240" w:h="15840"/>
      <w:pgMar w:top="936" w:right="936" w:bottom="936" w:left="936"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b/>
        <w:color w:val="2E74B5"/>
        <w:sz w:val="15"/>
      </w:rPr>
      <w:t>ZORAN  |  MISSION SCIENTIFIQUE CONSOLIDÉE  |  6 AOÛT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DejaVu Sans" w:hAnsi="DejaVu Sans" w:eastAsia="DejaVu San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DejaVu Sans" w:hAnsi="DejaVu Sans" w:eastAsia="DejaVu San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DejaVu Sans" w:hAnsi="DejaVu Sans" w:eastAsia="DejaVu Sans"/>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eastAsia="DejaVu Sans"/>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DejaVu Sans" w:hAnsi="DejaVu Sans" w:eastAsia="DejaVu Sans"/>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ZORAN">
    <w:name w:val="Equation ZORAN"/>
    <w:pPr>
      <w:keepLines/>
      <w:spacing w:before="100" w:after="140"/>
      <w:jc w:val="center"/>
    </w:pPr>
    <w:rPr>
      <w:rFonts w:ascii="DejaVu Sans" w:hAnsi="DejaVu Sans"/>
      <w:b/>
      <w:color w:val="1F4D78"/>
      <w:sz w:val="20"/>
    </w:rPr>
  </w:style>
  <w:style w:type="paragraph" w:customStyle="1" w:styleId="Smallnote">
    <w:name w:val="Small note"/>
    <w:pPr>
      <w:spacing w:after="80"/>
    </w:pPr>
    <w:rPr>
      <w:rFonts w:ascii="DejaVu Sans" w:hAnsi="DejaVu Sans"/>
      <w:i/>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enodo.org/records/18516353" TargetMode="External"/><Relationship Id="rId12" Type="http://schemas.openxmlformats.org/officeDocument/2006/relationships/hyperlink" Target="https://zenodo.org/records/18526755" TargetMode="External"/><Relationship Id="rId13" Type="http://schemas.openxmlformats.org/officeDocument/2006/relationships/hyperlink" Target="https://zenodo.org/records/18497598" TargetMode="External"/><Relationship Id="rId14" Type="http://schemas.openxmlformats.org/officeDocument/2006/relationships/hyperlink" Target="https://zenodo.org/records/17589556" TargetMode="External"/><Relationship Id="rId15" Type="http://schemas.openxmlformats.org/officeDocument/2006/relationships/hyperlink" Target="https://zenodo.org/records/17949089" TargetMode="External"/><Relationship Id="rId16" Type="http://schemas.openxmlformats.org/officeDocument/2006/relationships/hyperlink" Target="https://zenodo.org/records/18478936" TargetMode="External"/><Relationship Id="rId17" Type="http://schemas.openxmlformats.org/officeDocument/2006/relationships/hyperlink" Target="https://zoran-agi-coherence-labs.github.io/zoran-corpus/" TargetMode="External"/><Relationship Id="rId18" Type="http://schemas.openxmlformats.org/officeDocument/2006/relationships/hyperlink" Target="https://github.com/Zoran-IA-Mimetique" TargetMode="External"/><Relationship Id="rId19" Type="http://schemas.openxmlformats.org/officeDocument/2006/relationships/hyperlink" Target="https://github.com/Zoran-IA-Mimetique/Zoran-Omega-Infinite-Engine-v1" TargetMode="External"/><Relationship Id="rId20" Type="http://schemas.openxmlformats.org/officeDocument/2006/relationships/hyperlink" Target="https://github.com/Zoran-IA-Mimetique/Le-moteur-genereration-de-lois-fondamentales-de-Zoran" TargetMode="External"/><Relationship Id="rId21" Type="http://schemas.openxmlformats.org/officeDocument/2006/relationships/hyperlink" Target="https://github.com/Zoran-IA-Mimetique/zoran_v11_release" TargetMode="External"/><Relationship Id="rId22" Type="http://schemas.openxmlformats.org/officeDocument/2006/relationships/hyperlink" Target="https://github.com/Zoran-IA-Mimetique/Zoran-Math-Integration" TargetMode="External"/><Relationship Id="rId23" Type="http://schemas.openxmlformats.org/officeDocument/2006/relationships/hyperlink" Target="https://github.com/Zoran-IA-Mimetique/Codex-Zoran-Toutes-les-lois-de-Zor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de mission — Reprise ZORAN — version totale</dc:title>
  <dc:subject>Singularité, relativité, temps, cohérence, mémoire et viabilité multicadres</dc:subject>
  <dc:creator>Frédéric Tabary — Institut IA Inc.</dc:creator>
  <cp:keywords>ZORAN, cohérence, relativité, singularité, temps, multicadres, viabilité</cp:keywords>
  <dc:description>generated by python-docx</dc:description>
  <cp:lastModifiedBy/>
  <cp:revision>1</cp:revision>
  <dcterms:created xsi:type="dcterms:W3CDTF">2013-12-23T23:15:00Z</dcterms:created>
  <dcterms:modified xsi:type="dcterms:W3CDTF">2013-12-23T23:15:00Z</dcterms:modified>
  <cp:category/>
</cp:coreProperties>
</file>