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51E3" w14:textId="77777777" w:rsidR="009D48DE" w:rsidRDefault="001264CB" w:rsidP="009D48DE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Costs/benefits/ROI</w:t>
      </w:r>
      <w:bookmarkStart w:id="0" w:name="_GoBack"/>
      <w:bookmarkEnd w:id="0"/>
      <w:r w:rsidR="009D48DE">
        <w:br/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This chapter will show the cost, benefits</w:t>
      </w:r>
      <w:r w:rsidR="00681202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how long it would take for Plaintech to get its investment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back. The requirements for this project are specified and matched with the products and service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needed. Using this information, a cost estimation is drawn up. </w:t>
      </w:r>
      <w:bookmarkStart w:id="1" w:name="OLE_LINK2"/>
      <w:bookmarkStart w:id="2" w:name="OLE_LINK3"/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The virtualization project will attract new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customers.</w:t>
      </w:r>
      <w:bookmarkEnd w:id="1"/>
      <w:bookmarkEnd w:id="2"/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bookmarkStart w:id="3" w:name="OLE_LINK4"/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An estimation of the new customer base and the type of products that they require is used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calculate the prices that Plaintech can ask for its products. </w:t>
      </w:r>
      <w:bookmarkEnd w:id="3"/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Total gains – total costs divided by total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costs will show the return on investment of this project. It shou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ld be noted that all prices are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excluding</w:t>
      </w:r>
      <w:r w:rsidR="009D48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D48DE" w:rsidRPr="009D48DE">
        <w:rPr>
          <w:rFonts w:asciiTheme="minorHAnsi" w:eastAsiaTheme="minorHAnsi" w:hAnsiTheme="minorHAnsi" w:cstheme="minorBidi"/>
          <w:color w:val="auto"/>
          <w:sz w:val="22"/>
          <w:szCs w:val="22"/>
        </w:rPr>
        <w:t>value added taxes. Labor costs do come with an income tax of 35%.</w:t>
      </w:r>
    </w:p>
    <w:p w14:paraId="39516A53" w14:textId="77777777" w:rsidR="009D48DE" w:rsidRDefault="00885D91" w:rsidP="009D48DE">
      <w:pPr>
        <w:pStyle w:val="Kop1"/>
      </w:pPr>
      <w:r w:rsidRPr="00885D91">
        <w:t>Cost</w:t>
      </w:r>
    </w:p>
    <w:p w14:paraId="0368CB79" w14:textId="77777777" w:rsidR="007319E4" w:rsidRPr="00073B19" w:rsidRDefault="00E009F1" w:rsidP="009D48DE">
      <w:pPr>
        <w:rPr>
          <w:color w:val="FF0000"/>
        </w:rPr>
      </w:pPr>
      <w:commentRangeStart w:id="4"/>
      <w:r w:rsidRPr="00073B19">
        <w:rPr>
          <w:color w:val="FF0000"/>
        </w:rPr>
        <w:t>The Plaintech virtualization project is divided in to several costs</w:t>
      </w:r>
      <w:r w:rsidR="00CB0163" w:rsidRPr="00073B19">
        <w:rPr>
          <w:color w:val="FF0000"/>
        </w:rPr>
        <w:t>.</w:t>
      </w:r>
      <w:r w:rsidRPr="00073B19">
        <w:rPr>
          <w:color w:val="FF0000"/>
        </w:rPr>
        <w:t xml:space="preserve"> The rate ITopia charges per hour is €8</w:t>
      </w:r>
      <w:r w:rsidR="007319E4" w:rsidRPr="00073B19">
        <w:rPr>
          <w:color w:val="FF0000"/>
        </w:rPr>
        <w:t>3,42</w:t>
      </w:r>
      <w:r w:rsidR="00681202">
        <w:rPr>
          <w:color w:val="FF0000"/>
        </w:rPr>
        <w:t xml:space="preserve"> </w:t>
      </w:r>
      <w:r w:rsidR="004C3535" w:rsidRPr="00073B19">
        <w:rPr>
          <w:color w:val="FF0000"/>
        </w:rPr>
        <w:t>(Table 1</w:t>
      </w:r>
      <w:r w:rsidRPr="00073B19">
        <w:rPr>
          <w:color w:val="FF0000"/>
        </w:rPr>
        <w:t xml:space="preserve">). </w:t>
      </w:r>
      <w:commentRangeEnd w:id="4"/>
      <w:r w:rsidR="00B07B3B">
        <w:rPr>
          <w:rStyle w:val="Verwijzingopmerking"/>
        </w:rPr>
        <w:commentReference w:id="4"/>
      </w:r>
    </w:p>
    <w:p w14:paraId="665281D9" w14:textId="77777777" w:rsidR="00160A7D" w:rsidRDefault="004C3535" w:rsidP="00885D91">
      <w:r w:rsidRPr="004C3535">
        <w:rPr>
          <w:noProof/>
        </w:rPr>
        <w:drawing>
          <wp:inline distT="0" distB="0" distL="0" distR="0" wp14:anchorId="143468F5" wp14:editId="39AB2A50">
            <wp:extent cx="4248150" cy="12858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A7D">
        <w:br/>
      </w:r>
      <w:r w:rsidR="00160A7D">
        <w:rPr>
          <w:color w:val="0070C0"/>
          <w:sz w:val="20"/>
          <w:szCs w:val="20"/>
        </w:rPr>
        <w:t xml:space="preserve"> </w:t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 w:rsidR="00160A7D">
        <w:rPr>
          <w:color w:val="0070C0"/>
          <w:sz w:val="20"/>
          <w:szCs w:val="20"/>
        </w:rPr>
        <w:tab/>
      </w:r>
      <w:r>
        <w:rPr>
          <w:color w:val="0070C0"/>
          <w:sz w:val="20"/>
          <w:szCs w:val="20"/>
        </w:rPr>
        <w:t xml:space="preserve"> </w:t>
      </w:r>
      <w:r w:rsidR="00160A7D">
        <w:rPr>
          <w:color w:val="0070C0"/>
          <w:sz w:val="20"/>
          <w:szCs w:val="20"/>
        </w:rPr>
        <w:t xml:space="preserve"> </w:t>
      </w:r>
      <w:r w:rsidR="00160A7D" w:rsidRPr="00160A7D">
        <w:rPr>
          <w:color w:val="0070C0"/>
          <w:sz w:val="20"/>
          <w:szCs w:val="20"/>
        </w:rPr>
        <w:t>Table 1</w:t>
      </w:r>
      <w:r w:rsidR="00160A7D">
        <w:rPr>
          <w:color w:val="0070C0"/>
          <w:sz w:val="20"/>
          <w:szCs w:val="20"/>
        </w:rPr>
        <w:t>. H</w:t>
      </w:r>
      <w:r w:rsidR="00160A7D" w:rsidRPr="00160A7D">
        <w:rPr>
          <w:color w:val="0070C0"/>
          <w:sz w:val="20"/>
          <w:szCs w:val="20"/>
        </w:rPr>
        <w:t>our rates</w:t>
      </w:r>
    </w:p>
    <w:p w14:paraId="064C5813" w14:textId="77777777" w:rsidR="008E1164" w:rsidRDefault="008E1164" w:rsidP="00885D91">
      <w:r>
        <w:t xml:space="preserve">To realize project Virtualization Plaintech needs to invest € </w:t>
      </w:r>
      <w:r w:rsidR="00681202">
        <w:t>23.509,</w:t>
      </w:r>
      <w:r>
        <w:t>95. These cost include a new Dell server, project initiation document, technical design, functional design, implementation plan and installation hours for server setup. It should be noted that ITopia reserves a small amount of hours for technical difficulties</w:t>
      </w:r>
      <w:r w:rsidR="00A12CB7">
        <w:t>(Table 2).</w:t>
      </w:r>
    </w:p>
    <w:p w14:paraId="39DB7624" w14:textId="77777777" w:rsidR="00A12CB7" w:rsidRDefault="00D7314B" w:rsidP="00A12CB7">
      <w:pPr>
        <w:rPr>
          <w:color w:val="0070C0"/>
          <w:sz w:val="20"/>
        </w:rPr>
      </w:pPr>
      <w:r w:rsidRPr="00D7314B">
        <w:rPr>
          <w:noProof/>
        </w:rPr>
        <w:drawing>
          <wp:inline distT="0" distB="0" distL="0" distR="0" wp14:anchorId="76831873" wp14:editId="1E4DE85E">
            <wp:extent cx="4838700" cy="16573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2A1">
        <w:br/>
      </w:r>
      <w:r w:rsidR="00EB02A1">
        <w:rPr>
          <w:color w:val="0070C0"/>
          <w:sz w:val="20"/>
        </w:rPr>
        <w:t xml:space="preserve"> </w:t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>
        <w:rPr>
          <w:color w:val="0070C0"/>
          <w:sz w:val="20"/>
        </w:rPr>
        <w:tab/>
      </w:r>
      <w:r w:rsidR="00EB02A1" w:rsidRPr="00EB02A1">
        <w:rPr>
          <w:color w:val="0070C0"/>
          <w:sz w:val="20"/>
        </w:rPr>
        <w:t>Table 2. Costs</w:t>
      </w:r>
    </w:p>
    <w:p w14:paraId="3350277C" w14:textId="77777777" w:rsidR="00A12CB7" w:rsidRPr="00A12CB7" w:rsidRDefault="00A12CB7" w:rsidP="00A12CB7">
      <w:r>
        <w:br w:type="page"/>
      </w:r>
    </w:p>
    <w:p w14:paraId="250782CF" w14:textId="77777777" w:rsidR="00885D91" w:rsidRDefault="00885D91" w:rsidP="00A12CB7">
      <w:pPr>
        <w:pStyle w:val="Kop1"/>
      </w:pPr>
      <w:r w:rsidRPr="00885D91">
        <w:lastRenderedPageBreak/>
        <w:t>Benefits</w:t>
      </w:r>
    </w:p>
    <w:p w14:paraId="2C3212F8" w14:textId="77777777" w:rsidR="00B81575" w:rsidRDefault="00B81575" w:rsidP="002E6396">
      <w:r>
        <w:t>After looking at the competition, Plaintech faces on the virtual environment market, ITopia developed three distinctly different products</w:t>
      </w:r>
      <w:r w:rsidR="00D05734">
        <w:t>(Table 3)</w:t>
      </w:r>
      <w:r w:rsidR="002E6396">
        <w:t>.</w:t>
      </w:r>
      <w:r w:rsidRPr="00B81575">
        <w:t xml:space="preserve"> </w:t>
      </w:r>
      <w:r w:rsidRPr="009D48DE">
        <w:t xml:space="preserve">The virtualization project </w:t>
      </w:r>
      <w:r>
        <w:t xml:space="preserve">of Plaintech </w:t>
      </w:r>
      <w:r w:rsidRPr="009D48DE">
        <w:t>will attract new</w:t>
      </w:r>
      <w:r>
        <w:t xml:space="preserve"> </w:t>
      </w:r>
      <w:r w:rsidRPr="009D48DE">
        <w:t>customers.</w:t>
      </w:r>
      <w:r>
        <w:t xml:space="preserve"> The estimation of the amount of new customers is based on the following three types of virtualization products.</w:t>
      </w:r>
      <w:r w:rsidR="008229B5">
        <w:t xml:space="preserve"> All the new Plaintech product prices are excluded of server level agreements.</w:t>
      </w:r>
    </w:p>
    <w:p w14:paraId="180E90C8" w14:textId="77777777" w:rsidR="008229B5" w:rsidRDefault="00D05734" w:rsidP="00F537A4">
      <w:pPr>
        <w:pStyle w:val="Lijstalinea"/>
        <w:numPr>
          <w:ilvl w:val="0"/>
          <w:numId w:val="1"/>
        </w:numPr>
      </w:pPr>
      <w:r w:rsidRPr="00722CE2">
        <w:rPr>
          <w:b/>
        </w:rPr>
        <w:t>Plaintech-One</w:t>
      </w:r>
      <w:r w:rsidR="00B81575">
        <w:br/>
        <w:t xml:space="preserve">The base product of Plaintech consists of </w:t>
      </w:r>
      <w:bookmarkStart w:id="5" w:name="OLE_LINK5"/>
      <w:bookmarkStart w:id="6" w:name="OLE_LINK6"/>
      <w:r w:rsidR="00722CE2">
        <w:t xml:space="preserve">two virtual central processing units, </w:t>
      </w:r>
      <w:r w:rsidR="008229B5">
        <w:t xml:space="preserve">two Gigabytes random access memory, one-hundred Gigabytes of hard disc storage, unlimited data traffic </w:t>
      </w:r>
      <w:r w:rsidR="00722CE2">
        <w:t xml:space="preserve">and with the use of </w:t>
      </w:r>
      <w:r w:rsidR="008229B5">
        <w:t>KVM virtualization software, which is based on an Unix distribution.</w:t>
      </w:r>
    </w:p>
    <w:bookmarkEnd w:id="5"/>
    <w:bookmarkEnd w:id="6"/>
    <w:p w14:paraId="01D51696" w14:textId="77777777" w:rsidR="00D05734" w:rsidRDefault="00D05734" w:rsidP="004B4C57">
      <w:pPr>
        <w:pStyle w:val="Lijstalinea"/>
        <w:numPr>
          <w:ilvl w:val="0"/>
          <w:numId w:val="1"/>
        </w:numPr>
      </w:pPr>
      <w:r w:rsidRPr="00722CE2">
        <w:rPr>
          <w:b/>
        </w:rPr>
        <w:t>Plaintech-Two</w:t>
      </w:r>
      <w:r w:rsidR="008229B5">
        <w:br/>
        <w:t xml:space="preserve">The intermediate product of Plaintech consists of </w:t>
      </w:r>
      <w:bookmarkStart w:id="7" w:name="OLE_LINK7"/>
      <w:bookmarkStart w:id="8" w:name="OLE_LINK8"/>
      <w:r w:rsidR="00722CE2">
        <w:t>three</w:t>
      </w:r>
      <w:r w:rsidR="008229B5">
        <w:t xml:space="preserve"> virtual central processing units</w:t>
      </w:r>
      <w:bookmarkEnd w:id="7"/>
      <w:bookmarkEnd w:id="8"/>
      <w:r w:rsidR="008229B5">
        <w:t xml:space="preserve">, four Gigabytes random access memory, two-hundred-fifty Gigabytes of hard disc storage, unlimited data traffic and </w:t>
      </w:r>
      <w:r w:rsidR="00722CE2">
        <w:t xml:space="preserve">with the use of </w:t>
      </w:r>
      <w:r w:rsidR="008229B5">
        <w:t>KVM virtualization software, which is based on an Unix distribution.</w:t>
      </w:r>
    </w:p>
    <w:p w14:paraId="66D0285F" w14:textId="77777777" w:rsidR="00D05734" w:rsidRPr="00722CE2" w:rsidRDefault="00D05734" w:rsidP="00D05734">
      <w:pPr>
        <w:pStyle w:val="Lijstalinea"/>
        <w:numPr>
          <w:ilvl w:val="0"/>
          <w:numId w:val="1"/>
        </w:numPr>
        <w:rPr>
          <w:b/>
        </w:rPr>
      </w:pPr>
      <w:r w:rsidRPr="00722CE2">
        <w:rPr>
          <w:b/>
        </w:rPr>
        <w:t>Plaintech-Three</w:t>
      </w:r>
    </w:p>
    <w:p w14:paraId="5AA9A0F9" w14:textId="77777777" w:rsidR="008229B5" w:rsidRDefault="008229B5" w:rsidP="008229B5">
      <w:pPr>
        <w:pStyle w:val="Lijstalinea"/>
      </w:pPr>
      <w:r>
        <w:t xml:space="preserve">The most advanced of the new Plaintech products consists of four virtual central processing units, eight Gigabytes random access memory, five-hundred Gigabytes of hard disc storage, unlimited data traffic </w:t>
      </w:r>
      <w:bookmarkStart w:id="9" w:name="OLE_LINK9"/>
      <w:r>
        <w:t>and</w:t>
      </w:r>
      <w:r w:rsidR="00722CE2">
        <w:t xml:space="preserve"> with the use of</w:t>
      </w:r>
      <w:r>
        <w:t xml:space="preserve"> </w:t>
      </w:r>
      <w:bookmarkEnd w:id="9"/>
      <w:r>
        <w:t>KVM virtualization software, which is based on an Unix distribution.</w:t>
      </w:r>
    </w:p>
    <w:p w14:paraId="389166D8" w14:textId="77777777" w:rsidR="00E67989" w:rsidRPr="0029350D" w:rsidRDefault="004048A7" w:rsidP="00E67989">
      <w:r w:rsidRPr="0029350D">
        <w:rPr>
          <w:b/>
        </w:rPr>
        <w:t xml:space="preserve">The </w:t>
      </w:r>
      <w:r w:rsidR="00E67989" w:rsidRPr="0029350D">
        <w:rPr>
          <w:b/>
        </w:rPr>
        <w:t>Fair Use Policy</w:t>
      </w:r>
      <w:r>
        <w:rPr>
          <w:color w:val="FF0000"/>
        </w:rPr>
        <w:br/>
      </w:r>
      <w:r w:rsidRPr="004048A7">
        <w:t>ITopia</w:t>
      </w:r>
      <w:r>
        <w:rPr>
          <w:color w:val="FF0000"/>
        </w:rPr>
        <w:t xml:space="preserve"> </w:t>
      </w:r>
      <w:r>
        <w:t xml:space="preserve">advises Plaintech to make use of the fair use policy in order to maintain maximum data traffic for all her customers. </w:t>
      </w:r>
      <w:bookmarkStart w:id="10" w:name="OLE_LINK13"/>
      <w:bookmarkStart w:id="11" w:name="OLE_LINK14"/>
      <w:r>
        <w:t xml:space="preserve">When customers make use of the data traffic </w:t>
      </w:r>
      <w:bookmarkStart w:id="12" w:name="OLE_LINK15"/>
      <w:bookmarkEnd w:id="10"/>
      <w:bookmarkEnd w:id="11"/>
      <w:r w:rsidR="0029350D" w:rsidRPr="0029350D">
        <w:t>exponentially</w:t>
      </w:r>
      <w:bookmarkEnd w:id="12"/>
      <w:r w:rsidR="0029350D">
        <w:t xml:space="preserve">, the customer is notified. When the </w:t>
      </w:r>
      <w:r w:rsidR="0029350D" w:rsidRPr="0029350D">
        <w:t xml:space="preserve">Exponential </w:t>
      </w:r>
      <w:r w:rsidR="0029350D">
        <w:t>use of data continues, customer is notified again and receives an fee</w:t>
      </w:r>
      <w:r w:rsidR="00E67989" w:rsidRPr="0029350D">
        <w:t xml:space="preserve"> for th</w:t>
      </w:r>
      <w:r w:rsidR="0029350D">
        <w:t>eir high amount of data traffic</w:t>
      </w:r>
      <w:r w:rsidR="00E67989" w:rsidRPr="0029350D">
        <w:t xml:space="preserve">. If </w:t>
      </w:r>
      <w:r w:rsidR="0029350D">
        <w:t>customer</w:t>
      </w:r>
      <w:r w:rsidR="00E67989" w:rsidRPr="0029350D">
        <w:t xml:space="preserve"> </w:t>
      </w:r>
      <w:r w:rsidR="0029350D">
        <w:t>would not</w:t>
      </w:r>
      <w:r w:rsidR="00E67989" w:rsidRPr="0029350D">
        <w:t xml:space="preserve"> agree with the </w:t>
      </w:r>
      <w:r w:rsidR="0029350D">
        <w:t xml:space="preserve">given </w:t>
      </w:r>
      <w:r w:rsidR="00E67989" w:rsidRPr="0029350D">
        <w:t>fee, their network traffic will be limited.</w:t>
      </w:r>
    </w:p>
    <w:p w14:paraId="3D234602" w14:textId="77777777" w:rsidR="00223332" w:rsidRPr="00D05734" w:rsidRDefault="002E6396" w:rsidP="00885D91">
      <w:pPr>
        <w:rPr>
          <w:sz w:val="20"/>
          <w:szCs w:val="20"/>
        </w:rPr>
      </w:pPr>
      <w:r w:rsidRPr="002E6396">
        <w:rPr>
          <w:noProof/>
        </w:rPr>
        <w:drawing>
          <wp:inline distT="0" distB="0" distL="0" distR="0" wp14:anchorId="2DD829E7" wp14:editId="58CC4EE5">
            <wp:extent cx="5838825" cy="7429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32">
        <w:br/>
      </w:r>
      <w:r w:rsidR="00223332" w:rsidRPr="00223332">
        <w:rPr>
          <w:sz w:val="16"/>
          <w:szCs w:val="16"/>
        </w:rPr>
        <w:t>(*Fair Use Policy)</w:t>
      </w:r>
      <w:r w:rsidR="00D05734">
        <w:rPr>
          <w:sz w:val="16"/>
          <w:szCs w:val="16"/>
        </w:rPr>
        <w:t xml:space="preserve"> </w:t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</w:r>
      <w:r w:rsidR="00D05734">
        <w:rPr>
          <w:sz w:val="16"/>
          <w:szCs w:val="16"/>
        </w:rPr>
        <w:tab/>
        <w:t xml:space="preserve">                </w:t>
      </w:r>
      <w:r w:rsidR="00D05734" w:rsidRPr="00D05734">
        <w:rPr>
          <w:color w:val="0070C0"/>
          <w:sz w:val="20"/>
          <w:szCs w:val="20"/>
        </w:rPr>
        <w:t>Table 3. Products</w:t>
      </w:r>
    </w:p>
    <w:p w14:paraId="0D4196E4" w14:textId="77777777" w:rsidR="004048A7" w:rsidRPr="00073B19" w:rsidRDefault="004048A7" w:rsidP="004048A7">
      <w:pPr>
        <w:rPr>
          <w:color w:val="FF0000"/>
        </w:rPr>
      </w:pPr>
      <w:commentRangeStart w:id="13"/>
      <w:r w:rsidRPr="00073B19">
        <w:rPr>
          <w:color w:val="FF0000"/>
        </w:rPr>
        <w:t>ITopia created the following server level agreements. Every</w:t>
      </w:r>
      <w:r w:rsidR="00E67989" w:rsidRPr="00073B19">
        <w:rPr>
          <w:color w:val="FF0000"/>
        </w:rPr>
        <w:t xml:space="preserve"> product is required to be combined with a server level agreement (SLA)</w:t>
      </w:r>
      <w:r w:rsidRPr="00073B19">
        <w:rPr>
          <w:color w:val="FF0000"/>
        </w:rPr>
        <w:t xml:space="preserve"> (Table 4)</w:t>
      </w:r>
      <w:r w:rsidR="00E67989" w:rsidRPr="00073B19">
        <w:rPr>
          <w:color w:val="FF0000"/>
        </w:rPr>
        <w:t>.</w:t>
      </w:r>
      <w:commentRangeEnd w:id="13"/>
      <w:r w:rsidR="00B07B3B">
        <w:rPr>
          <w:rStyle w:val="Verwijzingopmerking"/>
        </w:rPr>
        <w:commentReference w:id="13"/>
      </w:r>
    </w:p>
    <w:p w14:paraId="28466C57" w14:textId="77777777" w:rsidR="00D05734" w:rsidRDefault="004048A7" w:rsidP="005A32B7">
      <w:pPr>
        <w:pStyle w:val="Lijstalinea"/>
        <w:numPr>
          <w:ilvl w:val="0"/>
          <w:numId w:val="4"/>
        </w:numPr>
      </w:pPr>
      <w:r w:rsidRPr="004048A7">
        <w:rPr>
          <w:b/>
        </w:rPr>
        <w:t>S</w:t>
      </w:r>
      <w:r w:rsidR="00E67989" w:rsidRPr="004048A7">
        <w:rPr>
          <w:b/>
        </w:rPr>
        <w:t>LA-</w:t>
      </w:r>
      <w:r w:rsidR="00D05734" w:rsidRPr="004048A7">
        <w:rPr>
          <w:b/>
        </w:rPr>
        <w:t>Silver</w:t>
      </w:r>
      <w:r w:rsidR="00E67989">
        <w:t xml:space="preserve"> </w:t>
      </w:r>
      <w:bookmarkStart w:id="14" w:name="OLE_LINK10"/>
      <w:r>
        <w:br/>
      </w:r>
      <w:r w:rsidR="00722CE2">
        <w:t xml:space="preserve">The </w:t>
      </w:r>
      <w:r w:rsidR="00E67989">
        <w:t>Silver</w:t>
      </w:r>
      <w:r w:rsidR="00722CE2">
        <w:t xml:space="preserve"> server level agreement consists </w:t>
      </w:r>
      <w:bookmarkStart w:id="15" w:name="OLE_LINK11"/>
      <w:bookmarkStart w:id="16" w:name="OLE_LINK12"/>
      <w:r w:rsidR="00722CE2">
        <w:t>of</w:t>
      </w:r>
      <w:bookmarkEnd w:id="14"/>
      <w:r w:rsidR="00E67989">
        <w:t xml:space="preserve"> monthly updates and system checks, an response</w:t>
      </w:r>
      <w:r>
        <w:t xml:space="preserve"> </w:t>
      </w:r>
      <w:r w:rsidR="00E67989">
        <w:t xml:space="preserve">time of twenty hours, thirty minutes support time and maintenance during office hours. </w:t>
      </w:r>
      <w:bookmarkEnd w:id="15"/>
      <w:bookmarkEnd w:id="16"/>
    </w:p>
    <w:p w14:paraId="30B71255" w14:textId="77777777" w:rsidR="00722CE2" w:rsidRDefault="00E67989" w:rsidP="00467E65">
      <w:pPr>
        <w:pStyle w:val="Lijstalinea"/>
        <w:numPr>
          <w:ilvl w:val="0"/>
          <w:numId w:val="4"/>
        </w:numPr>
      </w:pPr>
      <w:r w:rsidRPr="004048A7">
        <w:rPr>
          <w:b/>
        </w:rPr>
        <w:t>SLA-</w:t>
      </w:r>
      <w:r w:rsidR="00D05734" w:rsidRPr="004048A7">
        <w:rPr>
          <w:b/>
        </w:rPr>
        <w:t>Gold</w:t>
      </w:r>
      <w:r w:rsidR="004048A7">
        <w:rPr>
          <w:b/>
        </w:rPr>
        <w:br/>
      </w:r>
      <w:r w:rsidR="00722CE2">
        <w:t xml:space="preserve">The </w:t>
      </w:r>
      <w:r>
        <w:t>Gold</w:t>
      </w:r>
      <w:r w:rsidR="00722CE2">
        <w:t xml:space="preserve"> server level agreement consists of</w:t>
      </w:r>
      <w:r>
        <w:t xml:space="preserve"> monthly updates and system checks, an response time of eight hours, one hour support time, daily back-ups and maintenance at night.</w:t>
      </w:r>
    </w:p>
    <w:p w14:paraId="7A4720B7" w14:textId="77777777" w:rsidR="00722CE2" w:rsidRPr="00D05734" w:rsidRDefault="00E67989" w:rsidP="001A00DD">
      <w:pPr>
        <w:pStyle w:val="Lijstalinea"/>
        <w:numPr>
          <w:ilvl w:val="0"/>
          <w:numId w:val="4"/>
        </w:numPr>
      </w:pPr>
      <w:r w:rsidRPr="004048A7">
        <w:rPr>
          <w:b/>
        </w:rPr>
        <w:t>SLA-</w:t>
      </w:r>
      <w:r w:rsidR="00D05734" w:rsidRPr="004048A7">
        <w:rPr>
          <w:b/>
        </w:rPr>
        <w:t>Platinum</w:t>
      </w:r>
      <w:r w:rsidR="004048A7">
        <w:br/>
      </w:r>
      <w:r w:rsidR="00722CE2">
        <w:t xml:space="preserve">The Platinum server level agreement consists </w:t>
      </w:r>
      <w:r>
        <w:t>of monthly updates and system checks, an thirty minute response time, two hours support time, daily back-ups and maintenance at night.</w:t>
      </w:r>
    </w:p>
    <w:p w14:paraId="15BF0485" w14:textId="77777777" w:rsidR="00223332" w:rsidRDefault="00223332" w:rsidP="00885D91">
      <w:r w:rsidRPr="00223332">
        <w:rPr>
          <w:noProof/>
        </w:rPr>
        <w:lastRenderedPageBreak/>
        <w:drawing>
          <wp:inline distT="0" distB="0" distL="0" distR="0" wp14:anchorId="30FB8813" wp14:editId="3CA0156C">
            <wp:extent cx="1171575" cy="7429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734">
        <w:br/>
      </w:r>
      <w:r w:rsidR="00D05734">
        <w:rPr>
          <w:color w:val="0070C0"/>
          <w:sz w:val="20"/>
        </w:rPr>
        <w:t xml:space="preserve"> </w:t>
      </w:r>
      <w:r w:rsidR="00D05734">
        <w:rPr>
          <w:color w:val="0070C0"/>
          <w:sz w:val="20"/>
        </w:rPr>
        <w:tab/>
        <w:t xml:space="preserve">   </w:t>
      </w:r>
      <w:r w:rsidR="00D05734" w:rsidRPr="00D05734">
        <w:rPr>
          <w:color w:val="0070C0"/>
          <w:sz w:val="20"/>
        </w:rPr>
        <w:t>Table 4</w:t>
      </w:r>
      <w:r w:rsidR="00D05734">
        <w:rPr>
          <w:color w:val="0070C0"/>
          <w:sz w:val="20"/>
        </w:rPr>
        <w:t>.</w:t>
      </w:r>
      <w:r w:rsidR="00D05734" w:rsidRPr="00D05734">
        <w:rPr>
          <w:color w:val="0070C0"/>
          <w:sz w:val="20"/>
        </w:rPr>
        <w:t xml:space="preserve"> SLA</w:t>
      </w:r>
    </w:p>
    <w:p w14:paraId="5C1D157E" w14:textId="77777777" w:rsidR="00D05734" w:rsidRDefault="00885D91" w:rsidP="00885D91">
      <w:pPr>
        <w:pStyle w:val="Kop1"/>
      </w:pPr>
      <w:r w:rsidRPr="00885D91">
        <w:t>ROI</w:t>
      </w:r>
    </w:p>
    <w:p w14:paraId="62CE5EEF" w14:textId="77777777" w:rsidR="00D05734" w:rsidRPr="00A30BE1" w:rsidRDefault="00D05734" w:rsidP="00885D91">
      <w:pPr>
        <w:rPr>
          <w:color w:val="0070C0"/>
          <w:sz w:val="20"/>
        </w:rPr>
      </w:pPr>
      <w:r>
        <w:t xml:space="preserve">When calculating the return on investment </w:t>
      </w:r>
      <w:r w:rsidR="00073B19">
        <w:t>ITopia</w:t>
      </w:r>
      <w:r>
        <w:t xml:space="preserve"> fi</w:t>
      </w:r>
      <w:r w:rsidR="00260667">
        <w:t>r</w:t>
      </w:r>
      <w:r>
        <w:t>s</w:t>
      </w:r>
      <w:r w:rsidR="00AD2391">
        <w:t>t had to make a few assumptions. Because Plaintech is new to the virtualization market</w:t>
      </w:r>
      <w:r w:rsidR="00073B19">
        <w:t>, Plaintech starts at a zero customer base.</w:t>
      </w:r>
      <w:r w:rsidR="00AD2391">
        <w:t xml:space="preserve"> </w:t>
      </w:r>
      <w:r w:rsidR="00073B19">
        <w:t>ITopia</w:t>
      </w:r>
      <w:r w:rsidR="00AD2391">
        <w:t xml:space="preserve"> assumed it would be reasonable to expect </w:t>
      </w:r>
      <w:r w:rsidR="00073B19">
        <w:t>twelve</w:t>
      </w:r>
      <w:r w:rsidR="00AD2391">
        <w:t xml:space="preserve"> customers for the first year. By </w:t>
      </w:r>
      <w:r w:rsidR="00073B19">
        <w:t>ITopia</w:t>
      </w:r>
      <w:r w:rsidR="00AD2391">
        <w:t xml:space="preserve"> calculations this would push the server capacity to 76.8% within the first year</w:t>
      </w:r>
      <w:r w:rsidR="0025524A">
        <w:t>(</w:t>
      </w:r>
      <w:r w:rsidR="00AD2391">
        <w:t xml:space="preserve">Table 5). </w:t>
      </w:r>
      <w:r w:rsidR="00A63875">
        <w:br/>
      </w:r>
      <w:r w:rsidR="00AD2391">
        <w:t>In the second year</w:t>
      </w:r>
      <w:r w:rsidR="0025524A">
        <w:t>(Table 6)</w:t>
      </w:r>
      <w:r w:rsidR="00AD2391">
        <w:t xml:space="preserve"> </w:t>
      </w:r>
      <w:r w:rsidR="00073B19">
        <w:t>ITopia</w:t>
      </w:r>
      <w:r w:rsidR="00AD2391">
        <w:t xml:space="preserve"> expec</w:t>
      </w:r>
      <w:r w:rsidR="00073B19">
        <w:t>ts</w:t>
      </w:r>
      <w:r w:rsidR="00AD2391">
        <w:t xml:space="preserve"> a slow but steady </w:t>
      </w:r>
      <w:r w:rsidR="00D02B12">
        <w:t xml:space="preserve">increasing </w:t>
      </w:r>
      <w:r w:rsidR="00073B19">
        <w:t>amount</w:t>
      </w:r>
      <w:r w:rsidR="00D02B12">
        <w:t xml:space="preserve"> of </w:t>
      </w:r>
      <w:r w:rsidR="00AD2391">
        <w:t xml:space="preserve">customers. </w:t>
      </w:r>
      <w:r w:rsidR="00073B19">
        <w:t>ITopia</w:t>
      </w:r>
      <w:r w:rsidR="00AD2391">
        <w:t xml:space="preserve"> </w:t>
      </w:r>
      <w:r w:rsidR="00073B19">
        <w:t>assumes that</w:t>
      </w:r>
      <w:r w:rsidR="00AD2391">
        <w:t xml:space="preserve"> after the second year </w:t>
      </w:r>
      <w:r w:rsidR="00073B19">
        <w:t>Plaintech</w:t>
      </w:r>
      <w:r w:rsidR="00AD2391">
        <w:t xml:space="preserve"> will have 17 </w:t>
      </w:r>
      <w:r w:rsidR="00073B19">
        <w:t xml:space="preserve">paying </w:t>
      </w:r>
      <w:r w:rsidR="00AD2391">
        <w:t xml:space="preserve">customers </w:t>
      </w:r>
      <w:r w:rsidR="00073B19">
        <w:t>this will set the server</w:t>
      </w:r>
      <w:r w:rsidR="00AD2391">
        <w:t xml:space="preserve"> capacity </w:t>
      </w:r>
      <w:r w:rsidR="00073B19">
        <w:t xml:space="preserve">to 99,2% </w:t>
      </w:r>
      <w:r w:rsidR="00AD2391">
        <w:t xml:space="preserve">. The revenue </w:t>
      </w:r>
      <w:r w:rsidR="00073B19">
        <w:t xml:space="preserve">after the second year </w:t>
      </w:r>
      <w:r w:rsidR="00AD2391">
        <w:t>will be € 18,720.00.</w:t>
      </w:r>
      <w:r w:rsidR="00073B19">
        <w:br/>
        <w:t>The total revenue after 2 year would be € 32,460.00(Table 7)</w:t>
      </w:r>
      <w:r w:rsidR="00E1100A" w:rsidRPr="00E1100A">
        <w:rPr>
          <w:noProof/>
        </w:rPr>
        <w:drawing>
          <wp:inline distT="0" distB="0" distL="0" distR="0" wp14:anchorId="6462A5E0" wp14:editId="378273D1">
            <wp:extent cx="5943600" cy="2168991"/>
            <wp:effectExtent l="0" t="0" r="0" b="317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24A">
        <w:rPr>
          <w:color w:val="0070C0"/>
          <w:sz w:val="20"/>
        </w:rPr>
        <w:t xml:space="preserve"> </w:t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  <w:t xml:space="preserve">     Table 5. Year 1</w:t>
      </w:r>
      <w:r w:rsidR="00A30BE1" w:rsidRPr="0025524A">
        <w:rPr>
          <w:noProof/>
        </w:rPr>
        <w:drawing>
          <wp:inline distT="0" distB="0" distL="0" distR="0" wp14:anchorId="22A1F2EB" wp14:editId="39F0DA9E">
            <wp:extent cx="5943600" cy="253492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24A">
        <w:br/>
      </w:r>
      <w:r w:rsidR="0025524A">
        <w:rPr>
          <w:color w:val="0070C0"/>
          <w:sz w:val="20"/>
        </w:rPr>
        <w:t xml:space="preserve"> </w:t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</w:r>
      <w:r w:rsidR="0025524A">
        <w:rPr>
          <w:color w:val="0070C0"/>
          <w:sz w:val="20"/>
        </w:rPr>
        <w:tab/>
        <w:t xml:space="preserve">     </w:t>
      </w:r>
      <w:r w:rsidR="0025524A" w:rsidRPr="0025524A">
        <w:rPr>
          <w:color w:val="0070C0"/>
          <w:sz w:val="20"/>
        </w:rPr>
        <w:t>Table 6. Year 2</w:t>
      </w:r>
    </w:p>
    <w:p w14:paraId="221CE0B3" w14:textId="77777777" w:rsidR="00073B19" w:rsidRDefault="00D07C79" w:rsidP="00073B19">
      <w:r>
        <w:lastRenderedPageBreak/>
        <w:t>W</w:t>
      </w:r>
      <w:r w:rsidR="00073B19">
        <w:t>hile</w:t>
      </w:r>
      <w:r w:rsidR="00FE4F54">
        <w:t xml:space="preserve"> subtract</w:t>
      </w:r>
      <w:r w:rsidR="00073B19">
        <w:t>ing the</w:t>
      </w:r>
      <w:r w:rsidR="00FE4F54">
        <w:t xml:space="preserve"> total rates of ITopia and the</w:t>
      </w:r>
      <w:r w:rsidR="00073B19">
        <w:t xml:space="preserve"> server costs</w:t>
      </w:r>
      <w:r w:rsidR="00FE4F54">
        <w:t xml:space="preserve"> from the total revenue </w:t>
      </w:r>
      <w:r w:rsidR="00073B19">
        <w:t>Plaintech</w:t>
      </w:r>
      <w:r w:rsidR="00FE4F54">
        <w:t xml:space="preserve"> would make a gross margin of € 8,950.05. That is 28% profit after</w:t>
      </w:r>
      <w:r w:rsidR="00073B19">
        <w:t xml:space="preserve"> its first two years.</w:t>
      </w:r>
      <w:r w:rsidR="00073B19" w:rsidRPr="00073B19">
        <w:t xml:space="preserve"> </w:t>
      </w:r>
      <w:r w:rsidR="00073B19">
        <w:t>When calculating the return on investment. Plaintech would have a 38% gain after two years(Table 8).</w:t>
      </w:r>
    </w:p>
    <w:p w14:paraId="48E4FFC1" w14:textId="77777777" w:rsidR="00D94162" w:rsidRPr="00885D91" w:rsidRDefault="00C24867" w:rsidP="00885D91">
      <w:r w:rsidRPr="00C24867">
        <w:rPr>
          <w:noProof/>
        </w:rPr>
        <w:drawing>
          <wp:inline distT="0" distB="0" distL="0" distR="0" wp14:anchorId="67FFB08B" wp14:editId="5724B9D5">
            <wp:extent cx="5463540" cy="2202180"/>
            <wp:effectExtent l="0" t="0" r="3810" b="762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F54">
        <w:br/>
      </w:r>
      <w:r w:rsidR="00FE4F54">
        <w:rPr>
          <w:color w:val="0070C0"/>
          <w:sz w:val="20"/>
        </w:rPr>
        <w:t xml:space="preserve"> </w:t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  <w:t xml:space="preserve">   </w:t>
      </w:r>
      <w:r w:rsidR="00FE4F54" w:rsidRPr="00FE4F54">
        <w:rPr>
          <w:color w:val="0070C0"/>
          <w:sz w:val="20"/>
        </w:rPr>
        <w:t>Table 7. Margin</w:t>
      </w:r>
      <w:r w:rsidRPr="00C24867">
        <w:rPr>
          <w:noProof/>
        </w:rPr>
        <w:drawing>
          <wp:inline distT="0" distB="0" distL="0" distR="0" wp14:anchorId="36FA0B74" wp14:editId="31962A46">
            <wp:extent cx="5463540" cy="373380"/>
            <wp:effectExtent l="0" t="0" r="3810" b="76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867">
        <w:rPr>
          <w:noProof/>
        </w:rPr>
        <w:drawing>
          <wp:inline distT="0" distB="0" distL="0" distR="0" wp14:anchorId="68E07DB1" wp14:editId="0742ED55">
            <wp:extent cx="4678680" cy="556260"/>
            <wp:effectExtent l="0" t="0" r="762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F54">
        <w:br/>
      </w:r>
      <w:r w:rsidR="00FE4F54">
        <w:rPr>
          <w:color w:val="0070C0"/>
          <w:sz w:val="20"/>
        </w:rPr>
        <w:t xml:space="preserve"> </w:t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</w:r>
      <w:r w:rsidR="00FE4F54">
        <w:rPr>
          <w:color w:val="0070C0"/>
          <w:sz w:val="20"/>
        </w:rPr>
        <w:tab/>
        <w:t xml:space="preserve">             </w:t>
      </w:r>
      <w:r w:rsidR="00FE4F54" w:rsidRPr="00FE4F54">
        <w:rPr>
          <w:color w:val="0070C0"/>
          <w:sz w:val="20"/>
        </w:rPr>
        <w:t>Table 8. ROI</w:t>
      </w:r>
    </w:p>
    <w:sectPr w:rsidR="00D94162" w:rsidRPr="0088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Zoran" w:date="2014-09-18T19:48:00Z" w:initials="Z">
    <w:p w14:paraId="2C79D755" w14:textId="77777777" w:rsidR="00B07B3B" w:rsidRDefault="00B07B3B">
      <w:pPr>
        <w:pStyle w:val="Tekstopmerking"/>
      </w:pPr>
      <w:r>
        <w:rPr>
          <w:rStyle w:val="Verwijzingopmerking"/>
        </w:rPr>
        <w:annotationRef/>
      </w:r>
      <w:r>
        <w:t xml:space="preserve">Nog </w:t>
      </w:r>
      <w:proofErr w:type="spellStart"/>
      <w:r>
        <w:t>afmaken</w:t>
      </w:r>
      <w:proofErr w:type="spellEnd"/>
    </w:p>
  </w:comment>
  <w:comment w:id="13" w:author="Zoran" w:date="2014-09-18T19:47:00Z" w:initials="Z">
    <w:p w14:paraId="59469B3D" w14:textId="77777777" w:rsidR="00B07B3B" w:rsidRDefault="00B07B3B">
      <w:pPr>
        <w:pStyle w:val="Tekstopmerking"/>
      </w:pPr>
      <w:r>
        <w:rPr>
          <w:rStyle w:val="Verwijzingopmerking"/>
        </w:rPr>
        <w:annotationRef/>
      </w:r>
      <w:r>
        <w:t xml:space="preserve">Nog </w:t>
      </w:r>
      <w:proofErr w:type="spellStart"/>
      <w:r>
        <w:t>afmaken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79D755" w15:done="0"/>
  <w15:commentEx w15:paraId="59469B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5AB"/>
    <w:multiLevelType w:val="hybridMultilevel"/>
    <w:tmpl w:val="0C2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A7A95"/>
    <w:multiLevelType w:val="hybridMultilevel"/>
    <w:tmpl w:val="F16A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73E84"/>
    <w:multiLevelType w:val="hybridMultilevel"/>
    <w:tmpl w:val="41EEC11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6D702683"/>
    <w:multiLevelType w:val="hybridMultilevel"/>
    <w:tmpl w:val="5118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ran">
    <w15:presenceInfo w15:providerId="Windows Live" w15:userId="f2b2f3acd71749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75"/>
    <w:rsid w:val="00073B19"/>
    <w:rsid w:val="00086CAA"/>
    <w:rsid w:val="000872F0"/>
    <w:rsid w:val="001264CB"/>
    <w:rsid w:val="00160A7D"/>
    <w:rsid w:val="00223332"/>
    <w:rsid w:val="0025524A"/>
    <w:rsid w:val="00260667"/>
    <w:rsid w:val="0029350D"/>
    <w:rsid w:val="002C3076"/>
    <w:rsid w:val="002E6396"/>
    <w:rsid w:val="004048A7"/>
    <w:rsid w:val="004C3535"/>
    <w:rsid w:val="00681202"/>
    <w:rsid w:val="00722CE2"/>
    <w:rsid w:val="007319E4"/>
    <w:rsid w:val="008229B5"/>
    <w:rsid w:val="00885D91"/>
    <w:rsid w:val="008E1164"/>
    <w:rsid w:val="008E3C75"/>
    <w:rsid w:val="009D16FD"/>
    <w:rsid w:val="009D48DE"/>
    <w:rsid w:val="00A12CB7"/>
    <w:rsid w:val="00A30BE1"/>
    <w:rsid w:val="00A63875"/>
    <w:rsid w:val="00AD2391"/>
    <w:rsid w:val="00B07B3B"/>
    <w:rsid w:val="00B81575"/>
    <w:rsid w:val="00C24867"/>
    <w:rsid w:val="00C2519B"/>
    <w:rsid w:val="00CB0163"/>
    <w:rsid w:val="00D02B12"/>
    <w:rsid w:val="00D05734"/>
    <w:rsid w:val="00D07C79"/>
    <w:rsid w:val="00D7314B"/>
    <w:rsid w:val="00D94162"/>
    <w:rsid w:val="00E009F1"/>
    <w:rsid w:val="00E1100A"/>
    <w:rsid w:val="00E67989"/>
    <w:rsid w:val="00EB02A1"/>
    <w:rsid w:val="00FC301C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75E"/>
  <w15:chartTrackingRefBased/>
  <w15:docId w15:val="{46FB1B76-9282-4EFE-8546-C1F95527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5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5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26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05734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07B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07B3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07B3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07B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07B3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0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6876-22C0-425D-9273-2D29EF7F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Zoran;Tom</dc:creator>
  <cp:keywords>BC</cp:keywords>
  <dc:description/>
  <cp:lastModifiedBy>Zoran</cp:lastModifiedBy>
  <cp:revision>7</cp:revision>
  <dcterms:created xsi:type="dcterms:W3CDTF">2014-09-16T15:02:00Z</dcterms:created>
  <dcterms:modified xsi:type="dcterms:W3CDTF">2014-09-18T17:48:00Z</dcterms:modified>
</cp:coreProperties>
</file>