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Введение.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>Cегодня мы хотим рассказать о трансформерах. По теме доклада мы решили разобрать транфсормеры: BERT и GPT, а также их модификации. В течении долгой работы выбора библиотеки и выбора инструментов, было выбрано реализовать работу BERT, используя библиотеку на python pytorch. Главная идея программы - вывести фильмы, которые больше всего подходят под описание.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Какие нейросети нам нужны?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Для того, чтобы понять архитектуру трансформера разберем, какие нейросети применяются в архитектуре, а потом в одной главе соеденим все предыдущие и посмотрим как работает сам трансформер. Самые популярные нейросети LSTM/GRU ( они являются реккуретными), бывают и другие виды, но мы обсудим только эти, так как они показали себя очень хорошо в архитектуре трансформера. Но с начала обсудим главную идею реккурентных нейронных сетей.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РНН(Реккурентная нейронная сеть) -  нейросети, которые нужны для работы с данными, которые представляют из себя последовательность некоторых токенов. В данной работе токены — слова. Такие нейросети помогают во многих задачах NLP(определение частей речи, определение спама и тд).  Идея нейронной сети состоит в том, что в нейронную  сеть прямого распространенния мы добавляем вектор(простейший случай) скрытого состояния, в котором хранится информация за предыдушии шаги. Как считается следующее скрытое состояние показано на рисунке, где xi — входная последовательность. Все обучение состоит в том, чтобы обучить матрицу весов.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7775"/>
            <wp:effectExtent l="0" t="0" r="0" b="0"/>
            <wp:wrapSquare wrapText="largest"/>
            <wp:docPr id="1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7775"/>
            <wp:effectExtent l="0" t="0" r="0" b="0"/>
            <wp:wrapSquare wrapText="largest"/>
            <wp:docPr id="2" name="Изображение5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Однако в этих нейросетях есть и минусы. Один из самых значительных — это затухания градиента, из-за неё мы плохо запоминаем начальную информацию. Для этого были придуманы разные нейросети, здесь мы разберем LSTM.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Немного про LSTM(Long-short term memory). На схеме ниже преведена схема с описанием. По ней видно, что к классической РНН, где была только функция тангенса добавляется много чего. Самая главная идея — добавить вотора запоминания и забывания. На схеме все подписано, как и все формулы [] - обозначается конкатенация двух векторов.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2945"/>
            <wp:effectExtent l="0" t="0" r="0" b="0"/>
            <wp:wrapSquare wrapText="largest"/>
            <wp:docPr id="3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Главная идея и функция внимания.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Начнем с главной идеи механизма внимания в машинном обучении. Например у нас есть текст: 'Надо сдавать лабораторные до срока выполнения". Возьмем второе слово "сдавать", чтобы показать близость между словами учитывая контекст, мы можем токенизировать слова данного предложения, и каждому слову присвоить вектор, например в данном случае используем можно использовать тип кодировки one-hot, далее мы считаем скалярное произведение с другими словами(включая себя же), получается 6-мерный вектор, состоящий из весов, вес - обозначает значимость слов в контексте, для удобства нормализуем эти вектора с использованием функции softmax.</w:t>
      </w:r>
      <w:r>
        <w:rPr/>
      </w:r>
      <m:oMath xmlns:m="http://schemas.openxmlformats.org/officeDocument/2006/math">
        <m:r>
          <m:t xml:space="preserve">w</m:t>
        </m:r>
        <m:sSub>
          <m:e>
            <m:r>
              <m:t xml:space="preserve">'</m:t>
            </m:r>
          </m:e>
          <m:sub>
            <m:r>
              <m:t xml:space="preserve">i</m:t>
            </m:r>
          </m:sub>
        </m:sSub>
        <m:r>
          <m:t xml:space="preserve">=</m:t>
        </m:r>
        <m:r>
          <m:t xml:space="preserve">softmax</m:t>
        </m:r>
        <m:d>
          <m:dPr>
            <m:begChr m:val="("/>
            <m:endChr m:val=")"/>
          </m:dPr>
          <m:e>
            <m:r>
              <m:t xml:space="preserve">w</m:t>
            </m:r>
            <m:r>
              <m:t xml:space="preserve">1</m:t>
            </m:r>
            <m:r>
              <m:t xml:space="preserve">,</m:t>
            </m:r>
            <m:r>
              <m:t xml:space="preserve">...</m:t>
            </m:r>
            <m:r>
              <m:t xml:space="preserve">w</m:t>
            </m:r>
            <m:r>
              <m:t xml:space="preserve">6</m:t>
            </m:r>
          </m:e>
        </m:d>
        <m:r>
          <m:t xml:space="preserve">=</m:t>
        </m:r>
        <m:f>
          <m:fPr>
            <m:type m:val="lin"/>
          </m:fPr>
          <m:num>
            <m:sSup>
              <m:e>
                <m:r>
                  <m:t xml:space="preserve">e</m:t>
                </m:r>
              </m:e>
              <m:sup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m:t xml:space="preserve">w</m:t>
                        </m:r>
                      </m:e>
                      <m:sub>
                        <m:r>
                          <m:t xml:space="preserve">i</m:t>
                        </m:r>
                      </m:sub>
                    </m:sSub>
                  </m:e>
                </m:d>
              </m:sup>
            </m:sSup>
          </m:num>
          <m:den>
            <m:d>
              <m:dPr>
                <m:begChr m:val="("/>
                <m:endChr m:val=")"/>
              </m:dPr>
              <m:e>
                <m:sSup>
                  <m:e>
                    <m:r>
                      <m:t xml:space="preserve">e</m:t>
                    </m:r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m:t xml:space="preserve">w</m:t>
                            </m:r>
                          </m:e>
                          <m:sub>
                            <m:r>
                              <m:t xml:space="preserve">1</m:t>
                            </m:r>
                          </m:sub>
                        </m:sSub>
                      </m:e>
                    </m:d>
                  </m:sup>
                </m:sSup>
                <m:r>
                  <m:t xml:space="preserve">+</m:t>
                </m:r>
                <m:sSubSup>
                  <m:e>
                    <m:r>
                      <m:t xml:space="preserve">...</m:t>
                    </m:r>
                  </m:e>
                  <m:sub>
                    <m:r>
                      <m:t xml:space="preserve">e</m:t>
                    </m:r>
                  </m:sub>
                  <m:sup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m:t xml:space="preserve">w</m:t>
                            </m:r>
                          </m:e>
                          <m:sub>
                            <m:r>
                              <m:t xml:space="preserve">7</m:t>
                            </m:r>
                          </m:sub>
                        </m:sSub>
                      </m:e>
                    </m:d>
                  </m:sup>
                </m:sSubSup>
              </m:e>
            </m:d>
          </m:den>
        </m:f>
      </m:oMath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Позиционные эмбединги.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Перед тем как ввести формулу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внутреннего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внимания обсудим что такое позиционные эмбдинги и какие типы бывают. Не будем забывать что запросы это матрицы слов в предложении.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Позиционный эмбединг - вектора, который хранит положение слова в предложении, он необходим, так как без него будет проблема о незнании положения слова в предложении. Почему они нужны? Так как без них мы не будем понимать на каком положении должно стоять каждое слово и без них у нас не будет четкого хорошего ответа.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ПЕ разделяются в МХСА на два типа: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1)Абсолютный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2)Относительный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 абсолютном каждый входящий токен на позиции i сопоставляется с тренировочным ебмединг вектором, который показывает строку в матрице R с размером [tokens, dims]. R - тренировочная матрица, инициализированная значениями (0,1).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Позиционныеабсолтные эмбединги считаются по даным формулам, где первая для четной компоненты, вторая нечетной. Здесь pos — позиция слова в предложении, i — номер компоненты вектора.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9945" cy="1846580"/>
            <wp:effectExtent l="0" t="0" r="0" b="0"/>
            <wp:wrapSquare wrapText="largest"/>
            <wp:docPr id="4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Почему была выбрана функция синуса для четных и косинуса для нечетных? Так как авторы теортически надеялись, что они позволять модели легко обучитья обращать внимания к относительный позициям.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Функция внимания.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>Теперь, когда был введен термин позициного введения, посмотрим на формулу внимания.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5510"/>
            <wp:effectExtent l="0" t="0" r="0" b="0"/>
            <wp:wrapSquare wrapText="largest"/>
            <wp:docPr id="5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 чем смысл данной формулы? Она помогает вычислять внимание слова к остальным словам. Т.е. у нас есть матрица запросов — матрица векторов у которых считаем внимание, матрица ключей — матрица которая содержит в себе значения, обозначающие отношение данного слова к другим словам, и матрица значений. Цель механизма внимания — найти значения V, которые лучше всего подходят под запрос Q конкретного слова. С самого начала они имеют случайные значения и в процессе обучения заполняются, т. е мы запускаем процесс обучения в обычной сети прямого распространения, например, с методом обратного распространения ошибки, и получаем матрицы Q,K,V, которые  далее применяются в функции softmax.  Также нельзя забывать, что она решает проблему многозначности слов.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Еще интересный факт, почему именно корень из размерности d? Как приводится в оригиналньной статье: принято делить на корень из размерности E векторов матриц Q и K. Мотивация для этого может быть следующей. Пусть компоненты двух векторов q и k являются независимыми случайными величинами с нулевым средним и единичной дисперсией. Тогда скалярное произведение q⋅k также имеет нулевое среднее и дисперсию равную размерности векторов E, т.е. типичные значения q⋅k находятся в интервале ±√d. Масштабирование переводит их к интервалу ±1.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Также перед рассмотрением многоголовго внимания, надо не забыть сказать про маскированное внимание. Маски в этом типе внимания разделяются на два типа: булева(key_padding_mask) и вещественная(attn_mask). Булева маска нужна для того, чтобы исключать некоторые пары ключей и значений. Для этого создается вектор из значений True, False, где значение True те значения исключаем. Вещественная же маска используется для точечного исключения т. е. Создается матрица [N,M], в которой ячейки обозначаются 0 или минус бесконечности. Минус бесконечность ставится в том случае, если на данноя ячейке нужно исключить вес при помощи сложения.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Многоголовое внимание.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/>
      </w:r>
      <m:oMath xmlns:m="http://schemas.openxmlformats.org/officeDocument/2006/math">
        <m:r>
          <m:t xml:space="preserve">MultiHead</m:t>
        </m:r>
        <m:d>
          <m:dPr>
            <m:begChr m:val="("/>
            <m:endChr m:val=")"/>
          </m:dPr>
          <m:e>
            <m:r>
              <m:t xml:space="preserve">Q</m:t>
            </m:r>
            <m:r>
              <m:t xml:space="preserve">,</m:t>
            </m:r>
            <m:r>
              <m:t xml:space="preserve">K</m:t>
            </m:r>
            <m:r>
              <m:t xml:space="preserve">,</m:t>
            </m:r>
            <m:r>
              <m:t xml:space="preserve">V</m:t>
            </m:r>
          </m:e>
        </m:d>
        <m:r>
          <m:t xml:space="preserve">=</m:t>
        </m:r>
        <m:r>
          <m:t xml:space="preserve">Concat</m:t>
        </m:r>
        <m:d>
          <m:dPr>
            <m:begChr m:val="("/>
            <m:endChr m:val=")"/>
          </m:dPr>
          <m:e>
            <m:sSub>
              <m:e>
                <m:r>
                  <m:t xml:space="preserve">head</m:t>
                </m:r>
              </m:e>
              <m:sub>
                <m:r>
                  <m:t xml:space="preserve">1</m:t>
                </m:r>
              </m:sub>
            </m:sSub>
            <m:r>
              <m:t xml:space="preserve">,</m:t>
            </m:r>
            <m:r>
              <m:t xml:space="preserve">...</m:t>
            </m:r>
            <m:r>
              <m:t xml:space="preserve">,</m:t>
            </m:r>
            <m:sSub>
              <m:e>
                <m:r>
                  <m:t xml:space="preserve">head</m:t>
                </m:r>
              </m:e>
              <m:sub>
                <m:r>
                  <m:t xml:space="preserve">h</m:t>
                </m:r>
              </m:sub>
            </m:sSub>
          </m:e>
        </m:d>
        <m:sSup>
          <m:e>
            <m:r>
              <m:t xml:space="preserve">W</m:t>
            </m:r>
          </m:e>
          <m:sup>
            <m:r>
              <m:t xml:space="preserve">O</m:t>
            </m:r>
          </m:sup>
        </m:sSup>
      </m:oMath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m:t xml:space="preserve">head</m:t>
            </m:r>
          </m:e>
          <m:sub>
            <m:r>
              <m:t xml:space="preserve">i</m:t>
            </m:r>
          </m:sub>
        </m:sSub>
        <m:r>
          <m:t xml:space="preserve">=</m:t>
        </m:r>
        <m:r>
          <m:t xml:space="preserve">Attention</m:t>
        </m:r>
        <m:d>
          <m:dPr>
            <m:begChr m:val="("/>
            <m:endChr m:val=")"/>
          </m:dPr>
          <m:e>
            <m:sSubSup>
              <m:e>
                <m:r>
                  <m:t xml:space="preserve">QW</m:t>
                </m:r>
              </m:e>
              <m:sub>
                <m:r>
                  <m:t xml:space="preserve">i</m:t>
                </m:r>
              </m:sub>
              <m:sup>
                <m:r>
                  <m:t xml:space="preserve">Q</m:t>
                </m:r>
              </m:sup>
            </m:sSubSup>
            <m:r>
              <m:t xml:space="preserve">,</m:t>
            </m:r>
            <m:sSubSup>
              <m:e>
                <m:r>
                  <m:t xml:space="preserve">KW</m:t>
                </m:r>
              </m:e>
              <m:sub>
                <m:r>
                  <m:t xml:space="preserve">i</m:t>
                </m:r>
              </m:sub>
              <m:sup>
                <m:r>
                  <m:t xml:space="preserve">K</m:t>
                </m:r>
              </m:sup>
            </m:sSubSup>
            <m:r>
              <m:t xml:space="preserve">,</m:t>
            </m:r>
            <m:sSubSup>
              <m:e>
                <m:r>
                  <m:t xml:space="preserve">VW</m:t>
                </m:r>
              </m:e>
              <m:sub>
                <m:r>
                  <m:t xml:space="preserve">i</m:t>
                </m:r>
              </m:sub>
              <m:sup>
                <m:r>
                  <m:t xml:space="preserve">V</m:t>
                </m:r>
              </m:sup>
            </m:sSubSup>
          </m:e>
        </m:d>
      </m:oMath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Фокусы внимания - головы. h - количество голов внимания.  В оригинальной статье было 8 параллельных слоев внимания(или голов). Для каждого из них мы использовали </w:t>
      </w:r>
      <w:r>
        <w:rPr/>
      </w:r>
      <m:oMath xmlns:m="http://schemas.openxmlformats.org/officeDocument/2006/math">
        <m:sSub>
          <m:e>
            <m:r>
              <m:t xml:space="preserve">d</m:t>
            </m:r>
          </m:e>
          <m:sub>
            <m:r>
              <m:t xml:space="preserve">k</m:t>
            </m:r>
          </m:sub>
        </m:sSub>
        <m:r>
          <m:t xml:space="preserve">=</m:t>
        </m:r>
        <m:sSub>
          <m:e>
            <m:r>
              <m:t xml:space="preserve">d</m:t>
            </m:r>
          </m:e>
          <m:sub>
            <m:r>
              <m:t xml:space="preserve">v</m:t>
            </m:r>
          </m:sub>
        </m:sSub>
        <m:r>
          <m:t xml:space="preserve">=</m:t>
        </m:r>
        <m:f>
          <m:fPr>
            <m:type m:val="lin"/>
          </m:fPr>
          <m:num>
            <m:sSub>
              <m:e>
                <m:r>
                  <m:t xml:space="preserve">d</m:t>
                </m:r>
              </m:e>
              <m:sub>
                <m:r>
                  <m:t xml:space="preserve">model</m:t>
                </m:r>
              </m:sub>
            </m:sSub>
          </m:num>
          <m:den>
            <m:r>
              <m:t xml:space="preserve">h</m:t>
            </m:r>
          </m:den>
        </m:f>
      </m:oMath>
      <w:r>
        <w:rPr/>
        <w:t>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>По факту входящие матрицы Q,K,V сначала подвергаются линейному преобразованию, а затем разрезаются по вертикали на H голов и веса внимания вычисляются уже независимым образом для каждой головы.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 самого начала для векторов запроса, ключей и значений делают линейное преобразование при помощи трех этих матрицы. При это для каждой головы набор матриц свой.  После вычисления функции внимания для каждой головы получается 8 голов внимания их просто соеденяют в одну по последнуму индексу. Её свертка с </w:t>
      </w:r>
      <w:r>
        <w:rPr/>
      </w:r>
      <m:oMath xmlns:m="http://schemas.openxmlformats.org/officeDocument/2006/math">
        <m:sSup>
          <m:e>
            <m:r>
              <m:t xml:space="preserve">W</m:t>
            </m:r>
          </m:e>
          <m:sup>
            <m:r>
              <m:t xml:space="preserve">O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приводит к финальной матрице.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Декодеры и енкодеры.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Далее рассмотрим простейшие структуры енкодера и декодера: Енкодер - это рекуррентная сеть(например LSTM), которая принимает на вход текст, и после работы в финальной ячейке хранит вектор скрытого состояния, который накопил в себе обо всем source-предложении (context vector). Этот вектор поступает как первый вектор скрытого состояние в декодер.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Декодер - тоже реккуретная сеть, у который первый вектор скрытого состояние - вектор из енкодера. Затем на вход первой ячейки декодера подаётся служебный токен (begin of sentence). На выходе этой ячейки сеть обучают выдавать слово-перевод . Для этого выходы ячеек пропускают через линейный слой (fc) с числом нейронов равным числу слов в словаре. Затем softmax-функция (sm), выдаёт "вероятности" слов из которых выбирается номер максимальной (argmax). Вектор полученного слова "кот" передаётся на вход второй ячейки и т.д. пока не получится служебный токен &lt;ЕOS&gt; (end of sentence).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/>
      </w:r>
      <m:oMath xmlns:m="http://schemas.openxmlformats.org/officeDocument/2006/math">
        <m:sSub>
          <m:e>
            <m:r>
              <m:t xml:space="preserve">v</m:t>
            </m:r>
          </m:e>
          <m:sub>
            <m:r>
              <m:t xml:space="preserve">α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- вектор скрытого состояние на ячейке альфа в енкодере, </w:t>
      </w:r>
      <w:r>
        <w:rPr/>
      </w:r>
      <m:oMath xmlns:m="http://schemas.openxmlformats.org/officeDocument/2006/math">
        <m:sSub>
          <m:e>
            <m:r>
              <m:t xml:space="preserve">u</m:t>
            </m:r>
          </m:e>
          <m:sub>
            <m:r>
              <m:t xml:space="preserve">α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- в декодере, следующий вектор скрытого состояние считается как его сумма со взвешенным скрытым состоянием энкодера. В след ячейку декодера отправляется не текущее скрытое состояние </w:t>
      </w:r>
      <w:r>
        <w:rPr/>
      </w:r>
      <m:oMath xmlns:m="http://schemas.openxmlformats.org/officeDocument/2006/math">
        <m:sSub>
          <m:e>
            <m:r>
              <m:t xml:space="preserve">u</m:t>
            </m:r>
          </m:e>
          <m:sub>
            <m:r>
              <m:t xml:space="preserve">α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а его сумма со взвешенным скрытым состоянием энекодера, где </w:t>
      </w:r>
      <w:r>
        <w:rPr/>
      </w:r>
      <m:oMath xmlns:m="http://schemas.openxmlformats.org/officeDocument/2006/math">
        <m:r>
          <m:t xml:space="preserve">u</m:t>
        </m:r>
        <m:sSub>
          <m:e>
            <m:r>
              <m:t xml:space="preserve">'</m:t>
            </m:r>
          </m:e>
          <m:sub>
            <m:r>
              <m:t xml:space="preserve">a</m:t>
            </m:r>
          </m:sub>
        </m:sSub>
        <m:r>
          <m:t xml:space="preserve">=</m:t>
        </m:r>
        <m:nary>
          <m:naryPr>
            <m:chr m:val="∑"/>
            <m:subHide m:val="1"/>
            <m:supHide m:val="1"/>
          </m:naryPr>
          <m:sub/>
          <m:sup/>
          <m:e>
            <m:sSub>
              <m:e>
                <m:r>
                  <m:t xml:space="preserve">ω</m:t>
                </m:r>
              </m:e>
              <m:sub>
                <m:d>
                  <m:dPr>
                    <m:begChr m:val="("/>
                    <m:endChr m:val=")"/>
                  </m:dPr>
                  <m:e>
                    <m:r>
                      <m:t xml:space="preserve">α</m:t>
                    </m:r>
                    <m:r>
                      <m:t xml:space="preserve">β</m:t>
                    </m:r>
                  </m:e>
                </m:d>
              </m:sub>
            </m:sSub>
          </m:e>
        </m:nary>
        <m:sSub>
          <m:e>
            <m:r>
              <m:t xml:space="preserve">v</m:t>
            </m:r>
          </m:e>
          <m:sub>
            <m:r>
              <m:t xml:space="preserve">β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а </w:t>
      </w:r>
      <w:r>
        <w:rPr/>
      </w:r>
      <m:oMath xmlns:m="http://schemas.openxmlformats.org/officeDocument/2006/math">
        <m:sSub>
          <m:e>
            <m:r>
              <m:t xml:space="preserve">ω</m:t>
            </m:r>
          </m:e>
          <m:sub>
            <m:d>
              <m:dPr>
                <m:begChr m:val="("/>
                <m:endChr m:val=")"/>
              </m:dPr>
              <m:e>
                <m:r>
                  <m:t xml:space="preserve">α</m:t>
                </m:r>
                <m:r>
                  <m:t xml:space="preserve">β</m:t>
                </m:r>
              </m:e>
            </m:d>
          </m:sub>
        </m:sSub>
        <m:r>
          <m:t xml:space="preserve">=</m:t>
        </m:r>
        <m:sSub>
          <m:e>
            <m:r>
              <m:t xml:space="preserve">u</m:t>
            </m:r>
          </m:e>
          <m:sub>
            <m:r>
              <m:t xml:space="preserve">α</m:t>
            </m:r>
          </m:sub>
        </m:sSub>
        <m:r>
          <m:t xml:space="preserve">∗</m:t>
        </m:r>
        <m:sSub>
          <m:e>
            <m:r>
              <m:t xml:space="preserve">v</m:t>
            </m:r>
          </m:e>
          <m:sub>
            <m:r>
              <m:t xml:space="preserve">β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(скалярное произведение). Возьмем одно важное уточнение что сумма значенмя омега равно единице. </w:t>
      </w:r>
      <w:r>
        <w:rPr/>
      </w:r>
      <m:oMath xmlns:m="http://schemas.openxmlformats.org/officeDocument/2006/math">
        <m:nary>
          <m:naryPr>
            <m:chr m:val="∑"/>
            <m:subHide m:val="1"/>
            <m:supHide m:val="1"/>
          </m:naryPr>
          <m:sub/>
          <m:sup/>
          <m:e>
            <m:sSub>
              <m:e>
                <m:r>
                  <m:t xml:space="preserve">ω</m:t>
                </m:r>
              </m:e>
              <m:sub>
                <m:d>
                  <m:dPr>
                    <m:begChr m:val="("/>
                    <m:endChr m:val=")"/>
                  </m:dPr>
                  <m:e>
                    <m:r>
                      <m:t xml:space="preserve">α</m:t>
                    </m:r>
                    <m:r>
                      <m:t xml:space="preserve">ω</m:t>
                    </m:r>
                  </m:e>
                </m:d>
              </m:sub>
            </m:sSub>
          </m:e>
        </m:nary>
        <m:r>
          <m:t xml:space="preserve">=</m:t>
        </m:r>
        <m:r>
          <m:t xml:space="preserve">1.</m:t>
        </m:r>
      </m:oMath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Теперь применим софтмакс к данному подсчету. (μ=1/√E)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Значит веса внимания к скрытым состояниям декодера определяются следующим образом:</w:t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/>
      </w:r>
      <m:oMath xmlns:m="http://schemas.openxmlformats.org/officeDocument/2006/math">
        <m:sSub>
          <m:e>
            <m:r>
              <m:t xml:space="preserve">ω</m:t>
            </m:r>
          </m:e>
          <m:sub>
            <m:d>
              <m:dPr>
                <m:begChr m:val="("/>
                <m:endChr m:val=")"/>
              </m:dPr>
              <m:e>
                <m:r>
                  <m:t xml:space="preserve">α</m:t>
                </m:r>
                <m:r>
                  <m:t xml:space="preserve">β</m:t>
                </m:r>
              </m:e>
            </m:d>
          </m:sub>
        </m:sSub>
        <m:r>
          <m:t xml:space="preserve">=</m:t>
        </m:r>
        <m:r>
          <m:t xml:space="preserve">softmax</m:t>
        </m:r>
        <m:d>
          <m:dPr>
            <m:begChr m:val="("/>
            <m:endChr m:val=")"/>
          </m:dPr>
          <m:e>
            <m:r>
              <m:t xml:space="preserve">μ</m:t>
            </m:r>
            <m:sSub>
              <m:e>
                <m:r>
                  <m:t xml:space="preserve">u</m:t>
                </m:r>
              </m:e>
              <m:sub>
                <m:r>
                  <m:t xml:space="preserve">α</m:t>
                </m:r>
              </m:sub>
            </m:sSub>
            <m:sSub>
              <m:e>
                <m:r>
                  <m:t xml:space="preserve">v</m:t>
                </m:r>
              </m:e>
              <m:sub>
                <m:r>
                  <m:t xml:space="preserve">β</m:t>
                </m:r>
              </m:sub>
            </m:sSub>
          </m:e>
        </m:d>
        <m:r>
          <m:t xml:space="preserve">=</m:t>
        </m:r>
        <m:f>
          <m:num>
            <m:sSup>
              <m:e>
                <m:r>
                  <m:t xml:space="preserve">e</m:t>
                </m:r>
              </m:e>
              <m:sup>
                <m:d>
                  <m:dPr>
                    <m:begChr m:val="("/>
                    <m:endChr m:val=")"/>
                  </m:dPr>
                  <m:e>
                    <m:r>
                      <m:t xml:space="preserve">μ</m:t>
                    </m:r>
                    <m:sSub>
                      <m:e>
                        <m:r>
                          <m:t xml:space="preserve">u</m:t>
                        </m:r>
                      </m:e>
                      <m:sub>
                        <m:r>
                          <m:t xml:space="preserve">α</m:t>
                        </m:r>
                      </m:sub>
                    </m:sSub>
                    <m:sSub>
                      <m:e>
                        <m:r>
                          <m:t xml:space="preserve">v</m:t>
                        </m:r>
                      </m:e>
                      <m:sub>
                        <m:r>
                          <m:t xml:space="preserve">β</m:t>
                        </m:r>
                      </m:sub>
                    </m:sSub>
                  </m:e>
                </m:d>
              </m:sup>
            </m:sSup>
          </m:num>
          <m:den>
            <m:nary>
              <m:naryPr>
                <m:chr m:val="∑"/>
                <m:subHide m:val="1"/>
                <m:supHide m:val="1"/>
              </m:naryPr>
              <m:sub/>
              <m:sup/>
              <m:e>
                <m:d>
                  <m:dPr>
                    <m:begChr m:val="("/>
                    <m:endChr m:val=")"/>
                  </m:dPr>
                  <m:e>
                    <m:sSup>
                      <m:e>
                        <m:r>
                          <m:t xml:space="preserve">e</m:t>
                        </m:r>
                      </m:e>
                      <m:sup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m:t xml:space="preserve">μ</m:t>
                            </m:r>
                            <m:sSub>
                              <m:e>
                                <m:r>
                                  <m:t xml:space="preserve">u</m:t>
                                </m:r>
                              </m:e>
                              <m:sub>
                                <m:r>
                                  <m:t xml:space="preserve">α</m:t>
                                </m:r>
                              </m:sub>
                            </m:sSub>
                            <m:sSub>
                              <m:e>
                                <m:r>
                                  <m:t xml:space="preserve">v</m:t>
                                </m:r>
                              </m:e>
                              <m:sub>
                                <m:r>
                                  <m:t xml:space="preserve">y</m:t>
                                </m:r>
                              </m:sub>
                            </m:sSub>
                          </m:e>
                        </m:d>
                      </m:sup>
                    </m:sSup>
                  </m:e>
                </m:d>
              </m:e>
            </m:nary>
          </m:den>
        </m:f>
      </m:oMath>
      <w:r>
        <w:rPr>
          <w:rFonts w:ascii="Times New Roman" w:hAnsi="Times New Roman"/>
          <w:b/>
          <w:bCs/>
          <w:sz w:val="28"/>
          <w:szCs w:val="28"/>
        </w:rPr>
        <w:t xml:space="preserve"> ,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ab/>
        <w:tab/>
        <w:tab/>
        <w:tab/>
        <w:tab/>
      </w:r>
      <w:r>
        <w:rPr>
          <w:rFonts w:ascii="Times New Roman" w:hAnsi="Times New Roman"/>
          <w:b/>
          <w:bCs/>
          <w:sz w:val="28"/>
          <w:szCs w:val="28"/>
        </w:rPr>
        <w:t>Трансфомеры.</w:t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>Теперь соеденим все наши разобранные темы и обсудим архитектуру трансформера.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Архитектура трансфомера - это архитектура созданная из енкодера и декодера, только их какое то Н количество штук. 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Начнем с начала, каждая такая строка в матрицу была сгенерирована из соответствующего исходного слова посредством серии трансформаций — векторного представления, позиционного кодирования и линейного слоя. Все эти трансформации возможно обучить; это означает, что используемые в этих операциях веса не определены заранее, а изучаются моделью таким образом, чтобы они давали желаемые выходные прогнозы.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 Рассмотрим классическую схему енкодера и рассмотрим её подробней с учетом наших знаний. Перед этим возьмем формулу добавляения позиционного эмбединнга к входной последовательности: </w:t>
      </w:r>
    </w:p>
    <w:p>
      <w:pPr>
        <w:pStyle w:val="Normal"/>
        <w:bidi w:val="0"/>
        <w:jc w:val="both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7290"/>
            <wp:effectExtent l="0" t="0" r="0" b="0"/>
            <wp:wrapSquare wrapText="largest"/>
            <wp:docPr id="6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 картинке мы можем увидеть классическую схему енкодера трансформера. 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923290</wp:posOffset>
            </wp:positionH>
            <wp:positionV relativeFrom="paragraph">
              <wp:posOffset>132715</wp:posOffset>
            </wp:positionV>
            <wp:extent cx="4518025" cy="4225925"/>
            <wp:effectExtent l="0" t="0" r="0" b="0"/>
            <wp:wrapSquare wrapText="largest"/>
            <wp:docPr id="7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 енкодер поступают последовательные слова x1,x2, к ним прибавляется позиционный эмбединг, далее этот новый вектор проходит через слой внутренего внимания  далее получается новые вектора, которые нормализуются, дальше они проходят через полносвязную сеть прямого распространения, в которой функция активации Relu.</w:t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/>
      </w:r>
      <m:oMath xmlns:m="http://schemas.openxmlformats.org/officeDocument/2006/math">
        <m:r>
          <m:t xml:space="preserve">FFN</m:t>
        </m:r>
        <m:d>
          <m:dPr>
            <m:begChr m:val="("/>
            <m:endChr m:val=")"/>
          </m:dPr>
          <m:e>
            <m:r>
              <m:t xml:space="preserve">x</m:t>
            </m:r>
          </m:e>
        </m:d>
        <m:r>
          <m:t xml:space="preserve">=</m:t>
        </m:r>
        <m:r>
          <m:t xml:space="preserve">max</m:t>
        </m:r>
        <m:d>
          <m:dPr>
            <m:begChr m:val="("/>
            <m:endChr m:val=")"/>
          </m:dPr>
          <m:e>
            <m:r>
              <m:t xml:space="preserve">0</m:t>
            </m:r>
            <m:r>
              <m:t xml:space="preserve">,</m:t>
            </m:r>
            <m:sSub>
              <m:e>
                <m:r>
                  <m:t xml:space="preserve">xW</m:t>
                </m:r>
              </m:e>
              <m:sub>
                <m:r>
                  <m:t xml:space="preserve">1</m:t>
                </m:r>
              </m:sub>
            </m:sSub>
            <m:r>
              <m:t xml:space="preserve">+</m:t>
            </m:r>
            <m:sSub>
              <m:e>
                <m:r>
                  <m:t xml:space="preserve">b</m:t>
                </m:r>
              </m:e>
              <m:sub>
                <m:r>
                  <m:t xml:space="preserve">1</m:t>
                </m:r>
              </m:sub>
            </m:sSub>
          </m:e>
        </m:d>
        <m:sSub>
          <m:e>
            <m:r>
              <m:t xml:space="preserve">W</m:t>
            </m:r>
          </m:e>
          <m:sub>
            <m:r>
              <m:t xml:space="preserve">2</m:t>
            </m:r>
          </m:sub>
        </m:sSub>
        <m:r>
          <m:t xml:space="preserve">+</m:t>
        </m:r>
        <m:sSub>
          <m:e>
            <m:r>
              <m:t xml:space="preserve">b</m:t>
            </m:r>
          </m:e>
          <m:sub>
            <m:r>
              <m:t xml:space="preserve">2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Энкодер начинает обрабатывать входящее предложение. Выход верхнего энкодера затем преобразуется в набор векторов внимания K и V. Они используются всеми декодерами в их «энкодер-декодер» слое внимания, что помогает им фокусироваться на подходящих местах во входящем предложении.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>Теперь посмотрим как работает механизм внимания в декодере.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>Польная схема архитектуры трансформера.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Внимание используется в трансформере в трёх местах: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start="70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Самовнимание в энкодере — исходная последовательность обращает внимание на себя.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start="70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Самовнимание в декодере — целевая последовательность обращает внимание на себя.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start="70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Энкодер-декодер-внимание в декодере — целевая последовательность обращает внимание на исходную последовательность.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7260"/>
            <wp:effectExtent l="0" t="0" r="0" b="0"/>
            <wp:wrapSquare wrapText="largest"/>
            <wp:docPr id="8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>В декодере слой внутреннего внимания может фокусироваться только на предыдущих позициях в выходном предложении. Это делается с помощью маскировки всех позиций после текущей (устанавливая их в –inf) перед этапом софтмакс в вычислении внутреннего внимания, вспоминаем про маскировочное внимание, которые упоминалось ранее.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«Энкодер-декодер» слой внимания работает как множественное внимание, кроме того, что он создает матрицу запроса из слоя, который находится ниже, и берет матрицы ключей и значений из выхода стека энкодеров. Т.е. в </w:t>
      </w:r>
      <w:r>
        <w:rPr>
          <w:rFonts w:ascii="Times New Roman" w:hAnsi="Times New Roman"/>
          <w:sz w:val="28"/>
          <w:szCs w:val="28"/>
        </w:rPr>
        <w:t xml:space="preserve"> энкодере-декодере запрос получается из целевого предложения, а ключ/значение — из исходного предложения. Таким образом, он вычисляет релевантность каждого слова в целевом предложении каждому слову в исходном предложении.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Последние слои.</w:t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>Что происходит в этих слоях ?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645160</wp:posOffset>
            </wp:positionH>
            <wp:positionV relativeFrom="paragraph">
              <wp:posOffset>370840</wp:posOffset>
            </wp:positionV>
            <wp:extent cx="4753610" cy="3068955"/>
            <wp:effectExtent l="0" t="0" r="0" b="0"/>
            <wp:wrapSquare wrapText="largest"/>
            <wp:docPr id="9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  <w:t xml:space="preserve"> 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Линейный слой – это простая полносвязная нейронная сеть, которая переводит вектор, созданный стеком декодеров, в значительно больший вектор, называемый логит вектором (logits vector).</w:t>
      </w:r>
    </w:p>
    <w:p>
      <w:pPr>
        <w:pStyle w:val="BodyText"/>
        <w:widowControl/>
        <w:ind w:hanging="0" w:start="0" w:end="0"/>
        <w:jc w:val="both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Пусть наша модель знает 10 тысяч уникальных английский слов («выходной словарь» нашей модели), которые она узнала из обучающего корпуса. Это означает, что наш логит вектор будет иметь 10 000 ячеек в ширину – каждая ячейка соответствует коэффициенту одного уникального слова. Таким образом мы интерпретируем выход нашей модели с помощью линейного слоя.</w:t>
        <w:br/>
        <w:t>Слой софтмакс переводит этот показатель в вероятности (положительные числа, сумма которых равна 1). Выбирается ячейка с наиболее высокой вероятностью и на выход данного временного отрезка подается соответствующее слово.</w:t>
      </w:r>
    </w:p>
    <w:p>
      <w:pPr>
        <w:pStyle w:val="BodyText"/>
        <w:widowControl/>
        <w:ind w:hanging="0" w:start="0" w:end="0"/>
        <w:jc w:val="both"/>
        <w:rPr/>
      </w:pP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Время BERT.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BodyText"/>
        <w:widowControl/>
        <w:spacing w:before="0" w:after="14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Фундаметально, BERT это стэк закодированных слоев Трансофматора, который состоит из множества «голов» со внутренним вниманием. Для каждого входящего токена в последовательности, в голове каждого вычисляется ключ, значение и векторы запросов, которые нужны для создания взвешенного представления. Все выходные данные всех голов в одном и том же слое соеденяются и проходят через полностью связанный слой.  Каждый слой обернут пропускным соединением с последуюзим слоем нормализации.</w:t>
      </w:r>
    </w:p>
    <w:p>
      <w:pPr>
        <w:pStyle w:val="BodyText"/>
        <w:widowControl/>
        <w:spacing w:before="0" w:after="14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Входящий образ считается следующим образом: каждое входящее слово это первое токенизированное в фрагмент текста и далее три вложенных слоя (токен, позиция и сегмент) соединяются в созданный вектор с фиксированной длинной. Специальный токен используется для класификации предсказаний и разделения входящий сегментов. Google и huggingFace имеют много вариантов Bert, включая оригинальный и расширенный. Они различаются в количестве „голов“, слоев и размером спрятанного состояния.</w:t>
      </w:r>
    </w:p>
    <w:p>
      <w:pPr>
        <w:pStyle w:val="BodyText"/>
        <w:widowControl/>
        <w:spacing w:before="0" w:after="14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Существует две задачи обучения: Masked Language Modeling (MLM) и Next Sentence Prediction (NSP). В MLM 15% токенов статически маскируются, из них 80% заменяются токеном MASK, 10% заменяются на случайный токен, 10% остаются неизменными. Модель предсказывает верный токен, лосс считается только на этих 15% токенов. В NSP модель предсказывает, следует ли 2-й текст за 1-м. Предсказание делается на выходном векторе CLS-токена.</w:t>
      </w:r>
    </w:p>
    <w:p>
      <w:pPr>
        <w:pStyle w:val="BodyText"/>
        <w:widowControl/>
        <w:spacing w:before="0" w:after="14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Для ускорения обучения 90% времени длина последовательности была 128 токенов, затем 10% времени модель училась на 512 токенах для получения валидных позиционных эмбеддингов. 16Гб обучающих данных.</w:t>
      </w:r>
      <w:r>
        <w:rPr>
          <w:rFonts w:ascii="Times New Roman" w:hAnsi="Times New Roman"/>
          <w:bCs w:val="false"/>
          <w:color w:val="000000"/>
          <w:sz w:val="28"/>
          <w:szCs w:val="28"/>
        </w:rPr>
        <w:br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Также нельзя не упомянуть, про то, что в BERT используется wordpiece embeddings, т.е. есть какой то большой словарь из десятка тысяч слов, а в этом словаре слова мы делим на части.</w:t>
      </w:r>
      <w:r>
        <w:rPr>
          <w:rFonts w:ascii="Times New Roman" w:hAnsi="Times New Roman"/>
          <w:bCs w:val="false"/>
          <w:color w:val="000000"/>
          <w:sz w:val="28"/>
          <w:szCs w:val="28"/>
        </w:rPr>
        <w:br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Берт кодирует слово в контексте текста. Он очень хорош для предсказания слов или даже предложений, но не для генерации текстов.</w:t>
      </w:r>
      <w:r>
        <w:rPr>
          <w:rFonts w:ascii="Times New Roman" w:hAnsi="Times New Roman"/>
          <w:bCs w:val="false"/>
          <w:color w:val="000000"/>
          <w:sz w:val="28"/>
          <w:szCs w:val="28"/>
        </w:rPr>
        <w:br/>
        <w:tab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Предварительная тренировка на неразмеченных данных состоит их двух этапов. На первом этапе строиться "маскированная языковая модель" (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Masked LM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). Для этого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15%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входных слов заменяются на служебный токен и сеть учится эти слова восстанавливать (ошибка вычисляется только по маскированным словам). При тонкой настройке токена уже не будет. Чтобы смягчить этот факт, процедура обучения выглядит следующим образом: отбираются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15%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слов текста,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80%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их маскируется,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10%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остаётся неизменными и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10%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заменяются на случайное слово.</w:t>
      </w:r>
    </w:p>
    <w:p>
      <w:pPr>
        <w:pStyle w:val="BodyText"/>
        <w:widowControl/>
        <w:spacing w:before="0" w:after="14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Второй этап предварительной тренировки языковой модели учит предсказывать следующее предложение: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Next Sentence Prediction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(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NSP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). Для этого в обучающем корпусе берётся предложение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A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и в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50%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следующее после него предложение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B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Этот случай помечается классом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IsNext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В остальных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50%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примерах предложение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B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является случайным, что помечается как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NotNext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Выход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C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первого служебного токена служит для распознавания одного из этих классов.</w:t>
      </w:r>
    </w:p>
    <w:p>
      <w:pPr>
        <w:pStyle w:val="BodyText"/>
        <w:widowControl/>
        <w:spacing w:before="0" w:after="14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Обсудим понимание смыслом BERT.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Большая часть доказательств про понимание здравого смысла BERT приходит из практикующих использующих его для выделения многих знаний. Одно прямо исследовательское изучение BERT докладывает, что BERT имеет проблемы с практическим выводом и понимании главного события. BERT также плохо работает с абстрактными атрибутами объектов, также хорошо как с визуальными и перцептивными свойствами, которые скорее всего будут предпологаться реже чем упоминаться.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Компонент MLM у BERT легко адаптируется для понимания индукционного заполнения в пропуски (например «Кот любит преследовать []). Petroni и другие показали, что для некоторых типов отношений, классический BERT конкурентоспособный  с методами основывающимися на понимании основ, также Роберт и команда показали, что то же  для открытой области QA используя T5 модель. Дэвисон и другие предпологают, что BERT делает выводы лучше для невиданной информации. Для того, чтобы BERT извлек смысл, нам нужен хорошие шаблонные предложени и их автоматическое увелечение и извлечение.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 w:val="false"/>
          <w:color w:val="000000"/>
          <w:sz w:val="28"/>
          <w:szCs w:val="28"/>
        </w:rPr>
        <w:tab/>
        <w:t>Однако, BERT не может  обосновывать общее понимание. Форбс и его команда показали, что BERT может „предположить“ возможностями и свойства многих объектов, но не может обоснвать причину взаимосвязи межу возможностями и свойствами. Например, он „знает“ , что люди могут входить в дома и что дома большие, но не может заключить что дом больше чем люди. Чжоу, Ричардсон и Сабхарвал также показали, что производительность падает с увеличением числа необходимых заключающих шагов. Некоторое понимание Берта пришло из ассоциации изучения стереотипов, например, человек с именем, звучащим по Итальянски будет предсказан как Итальянец, даже тогда, когда это неверно.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ru-RU" w:eastAsia="zh-CN" w:bidi="hi-IN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554</TotalTime>
  <Application>LibreOffice/7.6.4.1$Linux_X86_64 LibreOffice_project/60$Build-1</Application>
  <AppVersion>15.0000</AppVersion>
  <Pages>10</Pages>
  <Words>2205</Words>
  <Characters>13851</Characters>
  <CharactersWithSpaces>16116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2023-12-19T21:29:09Z</dcterms:created>
  <dc:creator/>
  <dc:description/>
  <dc:language>ru-RU</dc:language>
  <cp:lastModifiedBy/>
  <dcterms:modified xsi:type="dcterms:W3CDTF">2024-01-02T13:46:29Z</dcterms:modified>
  <cp:revision>144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