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                       Project: </w:t>
      </w:r>
      <w:r w:rsidDel="00000000" w:rsidR="00000000" w:rsidRPr="00000000">
        <w:rPr>
          <w:b w:val="1"/>
          <w:color w:val="6aa84f"/>
          <w:rtl w:val="0"/>
        </w:rPr>
        <w:t xml:space="preserve">CALIFORNIA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TEST SCENARIO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log in with a valid user name and a valid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sign up for the event on the given website.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Description: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Using a valid user name and a valid password the user logs into the webpage. Successful log into the website confirms the site's functionality.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user proceeds to the checkout with the selected item, verifying the site’s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1.1 . Sign in with a valid e-mail and a valid password.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1.2 . Check the ability to proceed to the checkout with the selected item.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Script 1: </w:t>
      </w:r>
    </w:p>
    <w:p w:rsidR="00000000" w:rsidDel="00000000" w:rsidP="00000000" w:rsidRDefault="00000000" w:rsidRPr="00000000" w14:paraId="00000014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Check the Sign in Functionality.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The user enters a valid email address and a valid password.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00"/>
        <w:gridCol w:w="3195"/>
        <w:gridCol w:w="3135"/>
        <w:tblGridChange w:id="0">
          <w:tblGrid>
            <w:gridCol w:w="900"/>
            <w:gridCol w:w="39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valid email and valid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get into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email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 your email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password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must be between 4 and 100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“Forgot your password”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your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Script 2:</w:t>
      </w:r>
    </w:p>
    <w:p w:rsidR="00000000" w:rsidDel="00000000" w:rsidP="00000000" w:rsidRDefault="00000000" w:rsidRPr="00000000" w14:paraId="00000048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Check the 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a9999"/>
          <w:rtl w:val="0"/>
        </w:rPr>
        <w:t xml:space="preserve">to sign up for the event on the given website.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The user checks the ability to sign up for the event on the given website, verifying the site’s functionality.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365"/>
        <w:gridCol w:w="4455"/>
        <w:gridCol w:w="1020"/>
        <w:tblGridChange w:id="0">
          <w:tblGrid>
            <w:gridCol w:w="1035"/>
            <w:gridCol w:w="4365"/>
            <w:gridCol w:w="445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logged into the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successfully opened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scrolls down to find the desired description.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scrolled down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the “RSVP”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link opens up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the email address, first and last name, and selects the desired date for 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message appears on the screen. User has successfully signed up for the event.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svus.wixsite.com/ca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