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bookmarkStart w:id="0" w:name="_GoBack"/>
      <w:r>
        <w:rPr>
          <w:rFonts w:hint="eastAsia"/>
          <w:b/>
          <w:bCs/>
          <w:sz w:val="36"/>
          <w:szCs w:val="44"/>
          <w:lang w:eastAsia="zh-CN"/>
        </w:rPr>
        <w:t>域名备案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域名备案网址：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"https://beian.aliyun.com/"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https://beian.aliyun.com/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进入界面：</w:t>
      </w:r>
    </w:p>
    <w:p>
      <w:r>
        <w:drawing>
          <wp:inline distT="0" distB="0" distL="114300" distR="114300">
            <wp:extent cx="5261610" cy="24333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点击“进入备案系统”，开始进行备案；</w:t>
      </w:r>
    </w:p>
    <w:p>
      <w:r>
        <w:drawing>
          <wp:inline distT="0" distB="0" distL="114300" distR="114300">
            <wp:extent cx="5265420" cy="129921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1、备案必须要申请好域名之后才能进行，甲方需尽快提供想要的域名；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备案需要较长时间（约20个工作日），甲方需要尽快进行备案；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87880" cy="1257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57705"/>
    <w:multiLevelType w:val="singleLevel"/>
    <w:tmpl w:val="7945770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44BC9"/>
    <w:rsid w:val="4BE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只影丶向谁</cp:lastModifiedBy>
  <dcterms:modified xsi:type="dcterms:W3CDTF">2018-06-21T08:50:40Z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