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jc w:val="center"/>
      </w:pPr>
      <w:r>
        <w:rPr>
          <w:rFonts w:ascii="Times New Roman" w:hAnsi="Times New Roman"/>
          <w:b/>
          <w:i w:val="0"/>
          <w:sz w:val="36"/>
        </w:rPr>
        <w:t>Supplemental Information</w:t>
      </w:r>
    </w:p>
    <w:p>
      <w:pPr>
        <w:spacing w:after="80" w:before="0" w:line="276" w:lineRule="auto"/>
        <w:jc w:val="center"/>
      </w:pPr>
      <w:r>
        <w:rPr>
          <w:rFonts w:ascii="Times New Roman" w:hAnsi="Times New Roman"/>
          <w:b w:val="0"/>
          <w:i/>
          <w:sz w:val="24"/>
        </w:rPr>
        <w:t>Reconstructing the stochastic Waddington landscape of bone regeneration identifies CDK8 as a pan-non-union therapeutic target</w:t>
      </w:r>
    </w:p>
    <w:p>
      <w:pPr>
        <w:spacing w:after="40" w:before="0" w:line="276" w:lineRule="auto"/>
        <w:jc w:val="center"/>
      </w:pPr>
      <w:r>
        <w:rPr>
          <w:rFonts w:ascii="Times New Roman" w:hAnsi="Times New Roman"/>
          <w:b w:val="0"/>
          <w:i w:val="0"/>
          <w:sz w:val="22"/>
        </w:rPr>
        <w:t>Jie Zou, Bo Guo, Liang Ma, Weibo Zheng, Xiaoai Zhou, Meiyun Tan*</w:t>
      </w:r>
    </w:p>
    <w:p>
      <w:pPr>
        <w:spacing w:after="280" w:before="0" w:line="276" w:lineRule="auto"/>
        <w:jc w:val="center"/>
      </w:pPr>
      <w:r>
        <w:rPr>
          <w:rFonts w:ascii="Times New Roman" w:hAnsi="Times New Roman"/>
          <w:b w:val="0"/>
          <w:i w:val="0"/>
          <w:sz w:val="20"/>
        </w:rPr>
        <w:t>Department of Orthopedics, The Affiliated Hospital of Southwest Medical University, Luzhou 646000, Sichuan, China</w:t>
      </w:r>
    </w:p>
    <w:p>
      <w:pPr>
        <w:spacing w:after="160" w:before="240" w:line="276" w:lineRule="auto"/>
      </w:pPr>
      <w:r>
        <w:rPr>
          <w:rFonts w:ascii="Times New Roman" w:hAnsi="Times New Roman"/>
          <w:b/>
          <w:i w:val="0"/>
          <w:sz w:val="28"/>
        </w:rPr>
        <w:t>Supplemental Figures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3295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Times New Roman" w:hAnsi="Times New Roman"/>
          <w:b/>
          <w:sz w:val="22"/>
        </w:rPr>
        <w:t xml:space="preserve">Figure S1. RUOT attractor-depth and residual-diffusion diagnostics, related to Figure 3. </w:t>
      </w:r>
      <w:r>
        <w:rPr>
          <w:rFonts w:ascii="Times New Roman" w:hAnsi="Times New Roman"/>
          <w:sz w:val="22"/>
        </w:rPr>
        <w:t>(A) Attractor escape depth (in potential L = −log p units) for the two E14.5 attractors, quantifying the deep chondrogenic basin (≈0.316) relative to the shallow fibrous basin (≈0.019). (B) Per-latent-dimension residual diffusion coefficient after joint drift/diffusion/growth fitting, compared with the fixed irreducible noise floor d = 0.001 (red dashed). Residual anisotropic diffusion is ~1×10⁻⁶–9×10⁻⁶, far below d, indicating that the drift field is well identified and that stochasticity is dominated by the explicitly modelled noise.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032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3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Times New Roman" w:hAnsi="Times New Roman"/>
          <w:b/>
          <w:sz w:val="22"/>
        </w:rPr>
        <w:t xml:space="preserve">Figure S2. Additional backward-ancestry and projection-comparison analyses, related to Figure 4. </w:t>
      </w:r>
      <w:r>
        <w:rPr>
          <w:rFonts w:ascii="Times New Roman" w:hAnsi="Times New Roman"/>
          <w:sz w:val="22"/>
        </w:rPr>
        <w:t>(A) Backward ancestry shown as the E11.5 source composition within each E14.5 terminal state (stacked bars), a companion to the Figure 4E heat map and confirming that terminal chondrocytes draw from multiple early sources, including fibrous-like cells. (B) Terminal fate from E11.5 to E14.5 under naive geometric projection (grey, with bootstrap 95% confidence intervals) versus the entropic-OT-composed coupling (blue). Bare geometric projection inflates the progenitor fraction (≈0.45 vs ≈0.06) and underestimates chondrocyte commitment (≈0.19 vs ≈0.55), motivating lineage-module/attractor-probability mapping rather than direct geometric projection of adult cells.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6980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Times New Roman" w:hAnsi="Times New Roman"/>
          <w:b/>
          <w:sz w:val="22"/>
        </w:rPr>
        <w:t xml:space="preserve">Figure S3. Gene-regulatory and trajectory supporting analyses, related to Figure 6. </w:t>
      </w:r>
      <w:r>
        <w:rPr>
          <w:rFonts w:ascii="Times New Roman" w:hAnsi="Times New Roman"/>
          <w:sz w:val="22"/>
        </w:rPr>
        <w:t>(A) Top pseudotime driver genes of endochondral progression. (B) Partial-correlation regulatory matrix after stage/cycle correction (red, positive co-variation; blue, negative). (C) Growth-related genes ranked by standardized association (red positive, blue negative). (D) Trajectory-critical genes ranked along the differentiation trajectory (red positive, blue negative). The directed gene-regulatory network and perturbation dose-response curves are shown in main Figure 6D–F.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9756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 w:line="276" w:lineRule="auto"/>
      </w:pPr>
      <w:r>
        <w:rPr>
          <w:rFonts w:ascii="Times New Roman" w:hAnsi="Times New Roman"/>
          <w:b/>
          <w:sz w:val="22"/>
        </w:rPr>
        <w:t xml:space="preserve">Figure S4. Additional spatial module and pathway maps, related to Figure 7. </w:t>
      </w:r>
      <w:r>
        <w:rPr>
          <w:rFonts w:ascii="Times New Roman" w:hAnsi="Times New Roman"/>
          <w:sz w:val="22"/>
        </w:rPr>
        <w:t>(A,B) CDK8 pathway score on the control (A) and NF1 (B) Visium sections, showing near-uniform low CDK8 spatial signal with no focal hotspot, consistent with CDK8 acting as a distributed lineage gate rather than a spatially localized cue. (C–E) NF1 section spatial scores for the progenitor/prog_SSPC (C), hypertrophic (D) and fibroblastic-intermediate (E) modules; the chondrogenic, fibrous and hypertrophic maps for both sections are shown in main Figure 7A.</w:t>
      </w:r>
    </w:p>
    <w:p>
      <w:r>
        <w:br w:type="page"/>
      </w:r>
    </w:p>
    <w:p>
      <w:pPr>
        <w:spacing w:after="160" w:before="240" w:line="276" w:lineRule="auto"/>
      </w:pPr>
      <w:r>
        <w:rPr>
          <w:rFonts w:ascii="Times New Roman" w:hAnsi="Times New Roman"/>
          <w:b/>
          <w:i w:val="0"/>
          <w:sz w:val="28"/>
        </w:rPr>
        <w:t>Supplemental Tables</w:t>
      </w:r>
    </w:p>
    <w:p>
      <w:pPr>
        <w:spacing w:after="200" w:before="0" w:line="276" w:lineRule="auto"/>
      </w:pPr>
      <w:r>
        <w:rPr>
          <w:rFonts w:ascii="Times New Roman" w:hAnsi="Times New Roman"/>
          <w:b w:val="0"/>
          <w:i/>
          <w:sz w:val="20"/>
        </w:rPr>
        <w:t>All supplemental tables are additionally provided as machine-readable CSV files in the Supplemental_Tables folder accompanying this document.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S1. Cell counts and state composition by developmental stage.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S2. Stage-resolved abundance trends (Spearman rho and significance) for each state.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S3. State marker statistics (expression fraction, average scaled expression and enrichment).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S4. Per-stage quality-control summary (detected genes, UMI counts, mitochondrial/ribosomal fractions, doublet scores).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S5. Forward fate probabilities (E11.5 start class to E14.5 terminal state) from the entropic OT coupling.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S6. Backward ancestry matrix (E14.5 terminal fate to E11.5 ancestor).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S7. Extended terminal fate from the probability layer, including hypertrophic and osteoblast states.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S8. Day-4/day-7 non-union block metrics by condition (commitment, arrest, terminal, fibrotic, fibroblastic-intermediate and proliferation fractions).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S8b. Integrated non-union blockage score at day 7 for WT-intact, ischemic and CD47-null conditions.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S9. Condition differential-expression signatures (ischemia and CD47-null versus intact) for lineage and target genes.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S10. ITPS multi-evidence target ranking and composite scores.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S11. Moran's I spatial autocorrelation for lineage modules and BMP/MAPK pathways (control and NF1).</w:t>
      </w:r>
    </w:p>
    <w:p>
      <w:pPr>
        <w:spacing w:after="100" w:line="276" w:lineRule="auto"/>
      </w:pPr>
      <w:r>
        <w:rPr>
          <w:rFonts w:ascii="Times New Roman" w:hAnsi="Times New Roman"/>
          <w:sz w:val="22"/>
        </w:rPr>
        <w:t>Table S12. Fibrocartilaginous-junction statistics: junction counts, pathway z scores, enrichment and per-spot BMP–MAPK correlations.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