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Барање за преглед на дипломска работа</w:t>
      </w:r>
    </w:p>
    <w:p>
      <w:pPr>
        <w:spacing w:after="360"/>
        <w:jc w:val="center"/>
      </w:pPr>
      <w:r>
        <w:rPr>
          <w:rFonts w:ascii="Times New Roman" w:cs="Times New Roman" w:eastAsia="Times New Roman" w:hAnsi="Times New Roman"/>
          <w:sz w:val="21"/>
          <w:szCs w:val="21"/>
        </w:rPr>
        <w:t xml:space="preserve">Дамјан Митровски (222022) · август 2026</w:t>
      </w:r>
    </w:p>
    <w:p>
      <w:pPr>
        <w:spacing w:after="140" w:line="300"/>
        <w:jc w:val="both"/>
      </w:pPr>
      <w:r>
        <w:rPr>
          <w:rFonts w:ascii="Times New Roman" w:cs="Times New Roman" w:eastAsia="Times New Roman" w:hAnsi="Times New Roman"/>
          <w:sz w:val="24"/>
          <w:szCs w:val="24"/>
        </w:rPr>
        <w:t xml:space="preserve">Почитувана проф. д-р Дединец,</w:t>
      </w:r>
    </w:p>
    <w:p>
      <w:pPr>
        <w:spacing w:after="140" w:line="300"/>
        <w:jc w:val="both"/>
      </w:pPr>
      <w:r>
        <w:rPr>
          <w:rFonts w:ascii="Times New Roman" w:cs="Times New Roman" w:eastAsia="Times New Roman" w:hAnsi="Times New Roman"/>
          <w:sz w:val="24"/>
          <w:szCs w:val="24"/>
        </w:rPr>
        <w:t xml:space="preserve">Во прилог Ви ја испраќам целосната работна верзија (34 страници, осум поглавја) на дипломската работа „Примена на големи јазични модели за автоматизација и валидација на мрежни конфигурации“. Експерименталниот дел е завршен и целосно репродуцибилен, а текстот ги опфаќа сите три асистивни улоги наведени во пријавената кратка содржина: толкување на барања, објаснување на постоечки конфигурации и подготовка на структурирани предлози, заедно со анализата на Ansible слојот. Овој документ е краток преглед на состојбата и на конкретните прашања за кои би ми значело Ваше мислење.</w:t>
      </w:r>
    </w:p>
    <w:p>
      <w:pPr>
        <w:spacing w:after="160" w:before="300"/>
      </w:pPr>
      <w:r>
        <w:rPr>
          <w:rFonts w:ascii="Times New Roman" w:cs="Times New Roman" w:eastAsia="Times New Roman" w:hAnsi="Times New Roman"/>
          <w:b/>
          <w:bCs/>
          <w:sz w:val="28"/>
          <w:szCs w:val="28"/>
        </w:rPr>
        <w:t xml:space="preserve">1. Што е завршено</w:t>
      </w:r>
    </w:p>
    <w:p>
      <w:pPr>
        <w:spacing w:after="140" w:line="300"/>
        <w:jc w:val="both"/>
      </w:pPr>
      <w:r>
        <w:rPr>
          <w:rFonts w:ascii="Times New Roman" w:cs="Times New Roman" w:eastAsia="Times New Roman" w:hAnsi="Times New Roman"/>
          <w:sz w:val="24"/>
          <w:szCs w:val="24"/>
        </w:rPr>
        <w:t xml:space="preserve">Системот е имплементиран и измерен: локален јазичен модел предлага мрежни конфигурациски промени, но никогаш не ги извршува. Секој предлог поминува низ строг договор за податоци, детерминистичка порта, човечко одобрување врзано со SHA-256 отпечаток и ограничен пат за примена, по што независен валидатор ја споредува работната мрежа со машински читлива намера.</w:t>
      </w:r>
    </w:p>
    <w:p>
      <w:pPr>
        <w:spacing w:after="140" w:line="300"/>
        <w:jc w:val="both"/>
      </w:pPr>
      <w:r>
        <w:rPr>
          <w:rFonts w:ascii="Times New Roman" w:cs="Times New Roman" w:eastAsia="Times New Roman" w:hAnsi="Times New Roman"/>
          <w:sz w:val="24"/>
          <w:szCs w:val="24"/>
        </w:rPr>
        <w:t xml:space="preserve">Евалуацијата опфаќа 848 живи извршувања врз дванаесет локални модели од осум фамилии, организирани во четири кампањи:</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4300"/>
        <w:gridCol w:w="1800"/>
      </w:tblGrid>
      <w:tr>
        <w:trPr>
          <w:tblHeader/>
        </w:trPr>
        <w:tc>
          <w:tcPr>
            <w:tcW w:type="dxa" w:w="3100"/>
            <w:shd w:fill="E8EBF0"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1"/>
                <w:szCs w:val="21"/>
              </w:rPr>
              <w:t xml:space="preserve">Кампања</w:t>
            </w:r>
          </w:p>
        </w:tc>
        <w:tc>
          <w:tcPr>
            <w:tcW w:type="dxa" w:w="4300"/>
            <w:shd w:fill="E8EBF0"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1"/>
                <w:szCs w:val="21"/>
              </w:rPr>
              <w:t xml:space="preserve">Што мери</w:t>
            </w:r>
          </w:p>
        </w:tc>
        <w:tc>
          <w:tcPr>
            <w:tcW w:type="dxa" w:w="1800"/>
            <w:shd w:fill="E8EBF0"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1"/>
                <w:szCs w:val="21"/>
              </w:rPr>
              <w:t xml:space="preserve">Извршувања</w:t>
            </w:r>
          </w:p>
        </w:tc>
      </w:tr>
      <w:tr>
        <w:trPr>
          <w:tblHeader w:val="false"/>
        </w:trPr>
        <w:tc>
          <w:tcPr>
            <w:tcW w:type="dxa" w:w="310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sz w:val="21"/>
                <w:szCs w:val="21"/>
              </w:rPr>
              <w:t xml:space="preserve">Заштитена низа (V2)</w:t>
            </w:r>
          </w:p>
        </w:tc>
        <w:tc>
          <w:tcPr>
            <w:tcW w:type="dxa" w:w="43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Барање → предлог низ целата низа</w:t>
            </w:r>
          </w:p>
        </w:tc>
        <w:tc>
          <w:tcPr>
            <w:tcW w:type="dxa" w:w="18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360</w:t>
            </w:r>
          </w:p>
        </w:tc>
      </w:tr>
      <w:tr>
        <w:trPr>
          <w:tblHeader w:val="false"/>
        </w:trPr>
        <w:tc>
          <w:tcPr>
            <w:tcW w:type="dxa" w:w="310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sz w:val="21"/>
                <w:szCs w:val="21"/>
              </w:rPr>
              <w:t xml:space="preserve">Објаснување (EXPLAIN)</w:t>
            </w:r>
          </w:p>
        </w:tc>
        <w:tc>
          <w:tcPr>
            <w:tcW w:type="dxa" w:w="43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Опис на постоечка конфигурација</w:t>
            </w:r>
          </w:p>
        </w:tc>
        <w:tc>
          <w:tcPr>
            <w:tcW w:type="dxa" w:w="18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288</w:t>
            </w:r>
          </w:p>
        </w:tc>
      </w:tr>
      <w:tr>
        <w:trPr>
          <w:tblHeader w:val="false"/>
        </w:trPr>
        <w:tc>
          <w:tcPr>
            <w:tcW w:type="dxa" w:w="310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sz w:val="21"/>
                <w:szCs w:val="21"/>
              </w:rPr>
              <w:t xml:space="preserve">Контрафактичка аблација</w:t>
            </w:r>
          </w:p>
        </w:tc>
        <w:tc>
          <w:tcPr>
            <w:tcW w:type="dxa" w:w="43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Одбиени предлози применети во живо</w:t>
            </w:r>
          </w:p>
        </w:tc>
        <w:tc>
          <w:tcPr>
            <w:tcW w:type="dxa" w:w="18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80</w:t>
            </w:r>
          </w:p>
        </w:tc>
      </w:tr>
      <w:tr>
        <w:trPr>
          <w:tblHeader w:val="false"/>
        </w:trPr>
        <w:tc>
          <w:tcPr>
            <w:tcW w:type="dxa" w:w="310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sz w:val="21"/>
                <w:szCs w:val="21"/>
              </w:rPr>
              <w:t xml:space="preserve">Слободна форма</w:t>
            </w:r>
          </w:p>
        </w:tc>
        <w:tc>
          <w:tcPr>
            <w:tcW w:type="dxa" w:w="43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Сурови команди применети во живо</w:t>
            </w:r>
          </w:p>
        </w:tc>
        <w:tc>
          <w:tcPr>
            <w:tcW w:type="dxa" w:w="18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120</w:t>
            </w:r>
          </w:p>
        </w:tc>
      </w:tr>
    </w:tbl>
    <w:p>
      <w:pPr>
        <w:spacing w:after="160" w:before="300"/>
      </w:pPr>
      <w:r>
        <w:rPr>
          <w:rFonts w:ascii="Times New Roman" w:cs="Times New Roman" w:eastAsia="Times New Roman" w:hAnsi="Times New Roman"/>
          <w:b/>
          <w:bCs/>
          <w:sz w:val="28"/>
          <w:szCs w:val="28"/>
        </w:rPr>
        <w:t xml:space="preserve">2. Главни резултати</w:t>
      </w:r>
    </w:p>
    <w:p>
      <w:pPr>
        <w:spacing w:after="140" w:line="300"/>
        <w:jc w:val="both"/>
      </w:pPr>
      <w:r>
        <w:rPr>
          <w:rFonts w:ascii="Times New Roman" w:cs="Times New Roman" w:eastAsia="Times New Roman" w:hAnsi="Times New Roman"/>
          <w:sz w:val="24"/>
          <w:szCs w:val="24"/>
        </w:rPr>
        <w:t xml:space="preserve">Аблацијата со три услови ја менува единствено количината детерминистичка структура помеѓу моделот и рутерите, при исти модели, исти барања и ист валидатор:</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400"/>
      </w:tblGrid>
      <w:tr>
        <w:trPr>
          <w:tblHeader/>
        </w:trPr>
        <w:tc>
          <w:tcPr>
            <w:tcW w:type="dxa" w:w="4400"/>
            <w:shd w:fill="E8EBF0"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1"/>
                <w:szCs w:val="21"/>
              </w:rPr>
              <w:t xml:space="preserve">Услов</w:t>
            </w:r>
          </w:p>
        </w:tc>
        <w:tc>
          <w:tcPr>
            <w:tcW w:type="dxa" w:w="2400"/>
            <w:shd w:fill="E8EBF0"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1"/>
                <w:szCs w:val="21"/>
              </w:rPr>
              <w:t xml:space="preserve">Извршувања</w:t>
            </w:r>
          </w:p>
        </w:tc>
        <w:tc>
          <w:tcPr>
            <w:tcW w:type="dxa" w:w="2400"/>
            <w:shd w:fill="E8EBF0"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1"/>
                <w:szCs w:val="21"/>
              </w:rPr>
              <w:t xml:space="preserve">Прекршена политика</w:t>
            </w:r>
          </w:p>
        </w:tc>
      </w:tr>
      <w:tr>
        <w:trPr>
          <w:tblHeader w:val="false"/>
        </w:trPr>
        <w:tc>
          <w:tcPr>
            <w:tcW w:type="dxa" w:w="440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sz w:val="21"/>
                <w:szCs w:val="21"/>
              </w:rPr>
              <w:t xml:space="preserve">A. Заштитена низа</w:t>
            </w:r>
          </w:p>
        </w:tc>
        <w:tc>
          <w:tcPr>
            <w:tcW w:type="dxa" w:w="24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360</w:t>
            </w:r>
          </w:p>
        </w:tc>
        <w:tc>
          <w:tcPr>
            <w:tcW w:type="dxa" w:w="24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0 (0%)</w:t>
            </w:r>
          </w:p>
        </w:tc>
      </w:tr>
      <w:tr>
        <w:trPr>
          <w:tblHeader w:val="false"/>
        </w:trPr>
        <w:tc>
          <w:tcPr>
            <w:tcW w:type="dxa" w:w="440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sz w:val="21"/>
                <w:szCs w:val="21"/>
              </w:rPr>
              <w:t xml:space="preserve">B. Само шема, без порта</w:t>
            </w:r>
          </w:p>
        </w:tc>
        <w:tc>
          <w:tcPr>
            <w:tcW w:type="dxa" w:w="24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80</w:t>
            </w:r>
          </w:p>
        </w:tc>
        <w:tc>
          <w:tcPr>
            <w:tcW w:type="dxa" w:w="24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6 (8%)</w:t>
            </w:r>
          </w:p>
        </w:tc>
      </w:tr>
      <w:tr>
        <w:trPr>
          <w:tblHeader w:val="false"/>
        </w:trPr>
        <w:tc>
          <w:tcPr>
            <w:tcW w:type="dxa" w:w="4400"/>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sz w:val="21"/>
                <w:szCs w:val="21"/>
              </w:rPr>
              <w:t xml:space="preserve">C. Слободна форма, без структура</w:t>
            </w:r>
          </w:p>
        </w:tc>
        <w:tc>
          <w:tcPr>
            <w:tcW w:type="dxa" w:w="24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120</w:t>
            </w:r>
          </w:p>
        </w:tc>
        <w:tc>
          <w:tcPr>
            <w:tcW w:type="dxa" w:w="2400"/>
            <w:tcMar>
              <w:top w:type="dxa" w:w="60"/>
              <w:left w:type="dxa" w:w="90"/>
              <w:bottom w:type="dxa" w:w="60"/>
              <w:right w:type="dxa" w:w="90"/>
            </w:tcMar>
          </w:tcPr>
          <w:p>
            <w:pPr>
              <w:spacing w:after="0" w:line="260"/>
              <w:jc w:val="center"/>
            </w:pPr>
            <w:r>
              <w:rPr>
                <w:rFonts w:ascii="Times New Roman" w:cs="Times New Roman" w:eastAsia="Times New Roman" w:hAnsi="Times New Roman"/>
                <w:b w:val="false"/>
                <w:bCs w:val="false"/>
                <w:sz w:val="21"/>
                <w:szCs w:val="21"/>
              </w:rPr>
              <w:t xml:space="preserve">40 (33%)</w:t>
            </w:r>
          </w:p>
        </w:tc>
      </w:tr>
    </w:tbl>
    <w:p>
      <w:pPr>
        <w:spacing w:after="140" w:line="300"/>
        <w:jc w:val="both"/>
      </w:pPr>
      <w:r>
        <w:rPr>
          <w:rFonts w:ascii="Times New Roman" w:cs="Times New Roman" w:eastAsia="Times New Roman" w:hAnsi="Times New Roman"/>
          <w:sz w:val="24"/>
          <w:szCs w:val="24"/>
        </w:rPr>
        <w:t xml:space="preserve">Матрицата на конфузија на портата дава recall од 1,000: низ 156 извршувања што стигнале до портата, ниту еден предлог што ја прекршува декларираната политика не помина. Девет од дванаесет модели произведоа таков предлог, но ниту еден не стигна до примена.</w:t>
      </w:r>
    </w:p>
    <w:p>
      <w:pPr>
        <w:spacing w:after="140" w:line="300"/>
        <w:jc w:val="both"/>
      </w:pPr>
      <w:r>
        <w:rPr>
          <w:rFonts w:ascii="Times New Roman" w:cs="Times New Roman" w:eastAsia="Times New Roman" w:hAnsi="Times New Roman"/>
          <w:sz w:val="24"/>
          <w:szCs w:val="24"/>
        </w:rPr>
        <w:t xml:space="preserve">Дополнително, при задачата за објаснување на постоечки конфигурации, сите модели ја опишаа структурата беспрекорно и без ниту еден измислен ентитет, но три модели не пријавија ниту едно пристапно правило во 24 извршувања — режим на откажување невидлив за читателот, бидејќи објаснувањето изгледа целосно.</w:t>
      </w:r>
    </w:p>
    <w:p>
      <w:pPr>
        <w:spacing w:after="160" w:before="300"/>
      </w:pPr>
      <w:r>
        <w:rPr>
          <w:rFonts w:ascii="Times New Roman" w:cs="Times New Roman" w:eastAsia="Times New Roman" w:hAnsi="Times New Roman"/>
          <w:b/>
          <w:bCs/>
          <w:sz w:val="28"/>
          <w:szCs w:val="28"/>
        </w:rPr>
        <w:t xml:space="preserve">3. Прашања за кои би ми значело Ваше мислење</w:t>
      </w:r>
    </w:p>
    <w:p>
      <w:pPr>
        <w:spacing w:after="120" w:line="300"/>
        <w:ind w:left="504" w:hanging="504"/>
        <w:jc w:val="both"/>
      </w:pPr>
      <w:r>
        <w:rPr>
          <w:rFonts w:ascii="Times New Roman" w:cs="Times New Roman" w:eastAsia="Times New Roman" w:hAnsi="Times New Roman"/>
          <w:sz w:val="24"/>
          <w:szCs w:val="24"/>
        </w:rPr>
        <w:t xml:space="preserve">1. Обем на Поглавје 6. Резултатите се обемни (четири кампањи, шест табели, три слики). Дали да ги задржам сите во главниот текст, или дел од нив да преместам во прилог?</w:t>
      </w:r>
    </w:p>
    <w:p>
      <w:pPr>
        <w:spacing w:after="120" w:line="300"/>
        <w:ind w:left="504" w:hanging="504"/>
        <w:jc w:val="both"/>
      </w:pPr>
      <w:r>
        <w:rPr>
          <w:rFonts w:ascii="Times New Roman" w:cs="Times New Roman" w:eastAsia="Times New Roman" w:hAnsi="Times New Roman"/>
          <w:sz w:val="24"/>
          <w:szCs w:val="24"/>
        </w:rPr>
        <w:t xml:space="preserve">2. Тежина на аблацијата. Аблацијата со три услови ми изгледа како најсилниот резултат. Дали е оправдано таа да биде претставена како централен наод во Апстрактот и Заклучокот, или очекувате поголем акцент врз самата имплементација?</w:t>
      </w:r>
    </w:p>
    <w:p>
      <w:pPr>
        <w:spacing w:after="120" w:line="300"/>
        <w:ind w:left="504" w:hanging="504"/>
        <w:jc w:val="both"/>
      </w:pPr>
      <w:r>
        <w:rPr>
          <w:rFonts w:ascii="Times New Roman" w:cs="Times New Roman" w:eastAsia="Times New Roman" w:hAnsi="Times New Roman"/>
          <w:sz w:val="24"/>
          <w:szCs w:val="24"/>
        </w:rPr>
        <w:t xml:space="preserve">3. Ограничувања. Свесно наведувам неколку ограничувања: мала топологија, ограничен простор на дејства, повторувањата не се независни статистички опсервации, и метриката за безбедност на предлозите корелира со стапката на предлагање. Дали нивото на самокритичност е соодветно, или треба да се скрати?</w:t>
      </w:r>
    </w:p>
    <w:p>
      <w:pPr>
        <w:spacing w:after="120" w:line="300"/>
        <w:ind w:left="504" w:hanging="504"/>
        <w:jc w:val="both"/>
      </w:pPr>
      <w:r>
        <w:rPr>
          <w:rFonts w:ascii="Times New Roman" w:cs="Times New Roman" w:eastAsia="Times New Roman" w:hAnsi="Times New Roman"/>
          <w:sz w:val="24"/>
          <w:szCs w:val="24"/>
        </w:rPr>
        <w:t xml:space="preserve">4. Дискусија наспроти Заклучок. Во моментов имам одделно Поглавје 7 (Дискусија) и Поглавје 8 (Заклучок). Дали да ги спојам, како во некои примери што ги имам видено?</w:t>
      </w:r>
    </w:p>
    <w:p>
      <w:pPr>
        <w:spacing w:after="120" w:line="300"/>
        <w:ind w:left="504" w:hanging="504"/>
        <w:jc w:val="both"/>
      </w:pPr>
      <w:r>
        <w:rPr>
          <w:rFonts w:ascii="Times New Roman" w:cs="Times New Roman" w:eastAsia="Times New Roman" w:hAnsi="Times New Roman"/>
          <w:sz w:val="24"/>
          <w:szCs w:val="24"/>
        </w:rPr>
        <w:t xml:space="preserve">5. Цитирање на препринти. Три од клучните референци се arXiv препринти од 2026 година без формална публикација. Ги цитирам со верзија и датум — дали тоа е прифатливо?</w:t>
      </w:r>
    </w:p>
    <w:p>
      <w:pPr>
        <w:spacing w:after="120" w:line="300"/>
        <w:ind w:left="504" w:hanging="504"/>
        <w:jc w:val="both"/>
      </w:pPr>
      <w:r>
        <w:rPr>
          <w:rFonts w:ascii="Times New Roman" w:cs="Times New Roman" w:eastAsia="Times New Roman" w:hAnsi="Times New Roman"/>
          <w:sz w:val="24"/>
          <w:szCs w:val="24"/>
        </w:rPr>
        <w:t xml:space="preserve">6. Дали недостасува нешто суштинско што комисијата би го очекувала, а јас не сум го предвидел?</w:t>
      </w:r>
    </w:p>
    <w:p>
      <w:pPr>
        <w:spacing w:after="160" w:before="300"/>
      </w:pPr>
      <w:r>
        <w:rPr>
          <w:rFonts w:ascii="Times New Roman" w:cs="Times New Roman" w:eastAsia="Times New Roman" w:hAnsi="Times New Roman"/>
          <w:b/>
          <w:bCs/>
          <w:sz w:val="28"/>
          <w:szCs w:val="28"/>
        </w:rPr>
        <w:t xml:space="preserve">4. Демонстрација</w:t>
      </w:r>
    </w:p>
    <w:p>
      <w:pPr>
        <w:spacing w:after="140" w:line="300"/>
        <w:jc w:val="both"/>
      </w:pPr>
      <w:r>
        <w:rPr>
          <w:rFonts w:ascii="Times New Roman" w:cs="Times New Roman" w:eastAsia="Times New Roman" w:hAnsi="Times New Roman"/>
          <w:sz w:val="24"/>
          <w:szCs w:val="24"/>
        </w:rPr>
        <w:t xml:space="preserve">Изработена е и жива демонстрација во прелистувач со која истото барање може да се спроведе низ двата услова: без порта, предлогот се применува и ја прекршува политиката; со порта, истото барање се одбива и ништо не се применува. Демонстрацијата трае околу една минута и Ви ја ставам на располагање доколку сметате дека е соодветна за одбраната.</w:t>
      </w:r>
    </w:p>
    <w:p>
      <w:pPr>
        <w:spacing w:after="160" w:before="300"/>
      </w:pPr>
      <w:r>
        <w:rPr>
          <w:rFonts w:ascii="Times New Roman" w:cs="Times New Roman" w:eastAsia="Times New Roman" w:hAnsi="Times New Roman"/>
          <w:b/>
          <w:bCs/>
          <w:sz w:val="28"/>
          <w:szCs w:val="28"/>
        </w:rPr>
        <w:t xml:space="preserve">5. Наредни чекори</w:t>
      </w:r>
    </w:p>
    <w:p>
      <w:pPr>
        <w:spacing w:after="140" w:line="300"/>
        <w:jc w:val="both"/>
      </w:pPr>
      <w:r>
        <w:rPr>
          <w:rFonts w:ascii="Times New Roman" w:cs="Times New Roman" w:eastAsia="Times New Roman" w:hAnsi="Times New Roman"/>
          <w:sz w:val="24"/>
          <w:szCs w:val="24"/>
        </w:rPr>
        <w:t xml:space="preserve">По Ваши забелешки, планирам финализирање на текстот, јазична проверка и подготовка на презентацијата за одбрана. Целото решение и сите зачувани докази се верзионирани и достапни во приватното Git складиште.</w:t>
      </w:r>
    </w:p>
    <w:p>
      <w:pPr>
        <w:spacing w:before="400"/>
      </w:pPr>
      <w:r>
        <w:rPr>
          <w:rFonts w:ascii="Times New Roman" w:cs="Times New Roman" w:eastAsia="Times New Roman" w:hAnsi="Times New Roman"/>
          <w:sz w:val="24"/>
          <w:szCs w:val="24"/>
        </w:rPr>
        <w:t xml:space="preserve">Со почит,</w:t>
      </w:r>
    </w:p>
    <w:p>
      <w:pPr>
        <w:spacing w:before="200"/>
      </w:pPr>
      <w:r>
        <w:rPr>
          <w:rFonts w:ascii="Times New Roman" w:cs="Times New Roman" w:eastAsia="Times New Roman" w:hAnsi="Times New Roman"/>
          <w:b/>
          <w:bCs/>
          <w:sz w:val="24"/>
          <w:szCs w:val="24"/>
        </w:rPr>
        <w:t xml:space="preserve">Дамјан Митровски</w:t>
      </w:r>
    </w:p>
    <w:p>
      <w:r>
        <w:rPr>
          <w:rFonts w:ascii="Times New Roman" w:cs="Times New Roman" w:eastAsia="Times New Roman" w:hAnsi="Times New Roman"/>
          <w:sz w:val="21"/>
          <w:szCs w:val="21"/>
        </w:rPr>
        <w:t xml:space="preserve">Индекс 222022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Барање за преглед — дипломска работа</dc:title>
  <dc:creator>Дамјан Митровски</dc:creator>
  <cp:lastModifiedBy>Un-named</cp:lastModifiedBy>
  <cp:revision>1</cp:revision>
  <dcterms:created xsi:type="dcterms:W3CDTF">2026-08-04T08:01:32.921Z</dcterms:created>
  <dcterms:modified xsi:type="dcterms:W3CDTF">2026-08-04T08:01:32.921Z</dcterms:modified>
</cp:coreProperties>
</file>

<file path=docProps/custom.xml><?xml version="1.0" encoding="utf-8"?>
<Properties xmlns="http://schemas.openxmlformats.org/officeDocument/2006/custom-properties" xmlns:vt="http://schemas.openxmlformats.org/officeDocument/2006/docPropsVTypes"/>
</file>