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b/>
          <w:bCs/>
          <w:color w:val="1FAFA0"/>
          <w:sz w:val="36"/>
          <w:szCs w:val="36"/>
        </w:rPr>
        <w:t>Projet phase 2 : Performances, Sécurité &amp; Résilience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666666"/>
          <w:sz w:val="22"/>
          <w:szCs w:val="22"/>
        </w:rPr>
        <w:t>Développer pour le cloud – Ynov Campus</w:t>
      </w:r>
    </w:p>
    <w:p>
      <w:pPr>
        <w:pStyle w:val="Normal"/>
        <w:pBdr>
          <w:bottom w:val="single" w:sz="6" w:space="1" w:color="1FAFA0"/>
        </w:pBdr>
        <w:spacing w:before="0" w:after="300"/>
        <w:jc w:val="center"/>
        <w:rPr/>
      </w:pPr>
      <w:r>
        <w:rPr>
          <w:rFonts w:eastAsia="Arial" w:cs="Arial" w:ascii="Arial" w:hAnsi="Arial"/>
          <w:i/>
          <w:iCs/>
          <w:color w:val="666666"/>
          <w:sz w:val="20"/>
          <w:szCs w:val="20"/>
        </w:rPr>
        <w:t>Sessions 15 – 16 (6h) – Mars 2026</w:t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Description du projet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Cette phase 2 vient enrichir l’application 3-tiers déployée en phase 1. L’objectif est de faire évoluer l’infrastructure pour répondre à des exigences de production réelles : montée en charge automatique, sécurisation du trafic entrant et résilience de l’architecture.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Les compétences mobilisées correspondent aux séances 12 (Performances &amp; Scalabilité) et 13 (Sécurisation d’un service exposé).</w:t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Prérequis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Application phase 1 déployée et fonctionnelle (App Service ou Container Apps)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Templates Bicep existants pour l’infrastructure de base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Pipeline CI/CD opérationnel (GitHub Actions ou Azure DevOps)</w:t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Exigences techniques</w:t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Partie 1 – Scalabilité et performances (obligatoire)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L’application doit supporter une montée en charge progressive sans intervention manuelle.</w:t>
      </w:r>
    </w:p>
    <w:p>
      <w:pPr>
        <w:pStyle w:val="Normal"/>
        <w:spacing w:before="0" w:after="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Exigence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Détail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Autoscaling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ListParagraph"/>
              <w:numPr>
                <w:ilvl w:val="0"/>
                <w:numId w:val="9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Configurer une règle d’autoscale basée sur le CPU (seuil à définir et justifier)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Définir un nombre min/max d’instances cohérent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Le scale-out et scale-in doivent être observables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Test de charge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ListParagraph"/>
              <w:numPr>
                <w:ilvl w:val="0"/>
                <w:numId w:val="10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Simuler une montée en charge (ex : Azure Load Testing, k6, hey, ou JMeter)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Capturer des métriques prouvant le scale-out (screenshots portail, logs ou graphiques)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Optimisation coûts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ListParagraph"/>
              <w:numPr>
                <w:ilvl w:val="0"/>
                <w:numId w:val="11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Justifier le choix du SKU App Service Plan ou Container Apps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Comparer le coût idle vs scale-out (estimation via Azure Pricing Calculator)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Bicep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Toutes les ressources de scalabilité doivent être définies en Bicep (autoscale settings, App Service Plan SKU, etc.)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Partie 2 – Sécurisation du trafic entrant (obligatoire)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L’application exposée publiquement doit être protégée par une couche de sécurité réseau.</w:t>
      </w:r>
    </w:p>
    <w:p>
      <w:pPr>
        <w:pStyle w:val="Normal"/>
        <w:spacing w:before="0" w:after="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Exigence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Détail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Application Gateway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Déployer un Azure Application Gateway devant l’application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Configurer les règles de routage (backend pool, listener, health probe)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L’accès direct à l’App Service doit être restreint (access restrictions)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WAF (Web Application Firewall)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Activer le WAF en mode Détection ou Prévention sur l’Application Gateway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Utiliser le ruleset OWASP 3.2 (ou supérieur)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Tester au moins 2 types d’attaque bloquées (ex : SQL injection, XSS) et documenter les résultats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Architecture réseau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Proposer un schéma d’architecture sécurisée montrant le flux utilisateur → App Gateway/WAF → Backend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Justifier les choix : pourquoi App Gateway plutôt que Load Balancer ? Quel tier WAF ?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Bicep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L’Application Gateway, le WAF et les composants réseau associés (VNet, subnet, NSG, IP publique) doivent être définis en Bicep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 xml:space="preserve">Partie 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>3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 xml:space="preserve"> – 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 xml:space="preserve">Oauth 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>(obligatoire)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L’application e</w:t>
      </w:r>
      <w:r>
        <w:rPr>
          <w:rFonts w:eastAsia="Arial" w:cs="Arial" w:ascii="Arial" w:hAnsi="Arial"/>
          <w:color w:val="333333"/>
          <w:sz w:val="20"/>
          <w:szCs w:val="20"/>
        </w:rPr>
        <w:t>xposé doit permettre la connexion via Oauth en implémentant un oauth client.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color w:val="333333"/>
          <w:sz w:val="20"/>
          <w:szCs w:val="20"/>
        </w:rPr>
        <w:t>I</w:t>
      </w:r>
      <w:r>
        <w:rPr>
          <w:rFonts w:eastAsia="Arial" w:cs="Arial" w:ascii="Arial" w:hAnsi="Arial"/>
          <w:color w:val="333333"/>
          <w:sz w:val="20"/>
          <w:szCs w:val="20"/>
        </w:rPr>
        <w:t>l doit permettre la connexion à au moins 1 provider externe au choix (github, google, ...)</w:t>
      </w:r>
    </w:p>
    <w:p>
      <w:pPr>
        <w:pStyle w:val="Normal"/>
        <w:spacing w:before="0" w:after="20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 xml:space="preserve">Partie 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>4</w:t>
      </w:r>
      <w:r>
        <w:rPr>
          <w:rFonts w:eastAsia="Arial" w:cs="Arial" w:ascii="Arial" w:hAnsi="Arial"/>
          <w:b/>
          <w:bCs/>
          <w:color w:val="333333"/>
          <w:sz w:val="24"/>
          <w:szCs w:val="24"/>
        </w:rPr>
        <w:t xml:space="preserve"> – Bonus (optionnel)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Bonus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Détail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Redondance multi-région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Déployer l’application dans 2 régions Azure avec Azure Front Door ou Traffic Manager pour le failover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Monitoring avancé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Configurer Azure Monitor avec des alertes (ex : temps de réponse &gt; 2s, taux d’erreur &gt; 5%) et un dashboard personnalisé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Custom WAF rules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Créer des règles WAF personnalisées adaptées à l’application (rate limiting, geo-filtering, blocage d’IP)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Health endpoints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Implémenter un endpoint /health dans le backend qui vérifie la connectivité BDD + storage, utilisé par les health probes de l’App Gateway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Livrables attendus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Arial" w:cs="Arial" w:ascii="Arial" w:hAnsi="Arial"/>
          <w:b/>
          <w:bCs/>
          <w:color w:val="333333"/>
          <w:sz w:val="20"/>
          <w:szCs w:val="20"/>
        </w:rPr>
        <w:t xml:space="preserve">Code source mis à jour : </w:t>
      </w:r>
      <w:r>
        <w:rPr>
          <w:rFonts w:eastAsia="Arial" w:cs="Arial" w:ascii="Arial" w:hAnsi="Arial"/>
          <w:color w:val="333333"/>
          <w:sz w:val="20"/>
          <w:szCs w:val="20"/>
        </w:rPr>
        <w:t>Templates Bicep intégrant App Gateway, WAF, autoscale settings. Pipeline CI/CD adapté.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 w:ascii="Arial" w:hAnsi="Arial"/>
          <w:b/>
          <w:bCs/>
          <w:color w:val="333333"/>
          <w:sz w:val="20"/>
          <w:szCs w:val="20"/>
        </w:rPr>
        <w:t xml:space="preserve">Démonstration live : </w:t>
      </w:r>
      <w:r>
        <w:rPr>
          <w:rFonts w:eastAsia="Arial" w:cs="Arial" w:ascii="Arial" w:hAnsi="Arial"/>
          <w:color w:val="333333"/>
          <w:sz w:val="20"/>
          <w:szCs w:val="20"/>
        </w:rPr>
        <w:t>Application accessible via l’Application Gateway. Démo du scale-out sous charge. Démo d’une attaque bloquée par le WAF.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 w:ascii="Arial" w:hAnsi="Arial"/>
          <w:b/>
          <w:bCs/>
          <w:color w:val="333333"/>
          <w:sz w:val="20"/>
          <w:szCs w:val="20"/>
        </w:rPr>
        <w:t xml:space="preserve">Rapport technique complémentaire : </w:t>
      </w:r>
      <w:r>
        <w:rPr>
          <w:rFonts w:eastAsia="Arial" w:cs="Arial" w:ascii="Arial" w:hAnsi="Arial"/>
          <w:color w:val="333333"/>
          <w:sz w:val="20"/>
          <w:szCs w:val="20"/>
        </w:rPr>
        <w:t>Schéma d’architecture sécurisée, analyse des résultats de charge, comparaison Load Balancer vs App Gateway, justification des choix WAF, estimation des coûts additionnels.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i/>
          <w:iCs/>
          <w:color w:val="333333"/>
          <w:sz w:val="20"/>
          <w:szCs w:val="20"/>
        </w:rPr>
        <w:t>Accès au repository : donner les droits à guilian.ganster@gmail.com (gganster sur GitHub)</w:t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Critères d’évaluation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500"/>
        <w:gridCol w:w="1525"/>
        <w:gridCol w:w="2001"/>
      </w:tblGrid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Critère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Poids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AF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Points clés</w:t>
            </w:r>
          </w:p>
        </w:tc>
      </w:tr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Scalabilité &amp; Autoscaling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Règles pertinentes, preuve du scale-out</w:t>
            </w:r>
          </w:p>
        </w:tc>
      </w:tr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Sécurisation (App Gateway + WAF)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Déploiement correct, tests d’attaque documentés</w:t>
            </w:r>
          </w:p>
        </w:tc>
      </w:tr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Infrastructure as Code (Bicep)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20%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Modularité, paramétrage, déploiement reproductible</w:t>
            </w:r>
          </w:p>
        </w:tc>
      </w:tr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Documentation &amp; justifications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15%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Schéma archi, analyse coûts, choix argumentés</w:t>
            </w:r>
          </w:p>
        </w:tc>
      </w:tr>
      <w:tr>
        <w:trPr/>
        <w:tc>
          <w:tcPr>
            <w:tcW w:w="5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Bonus</w:t>
            </w:r>
          </w:p>
        </w:tc>
        <w:tc>
          <w:tcPr>
            <w:tcW w:w="1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5%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AFA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333333"/>
                <w:sz w:val="20"/>
                <w:szCs w:val="20"/>
              </w:rPr>
              <w:t>Fonctionnalités supplémentaires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00" w:after="150"/>
        <w:rPr/>
      </w:pPr>
      <w:r>
        <w:rPr>
          <w:rFonts w:eastAsia="Arial" w:cs="Arial" w:ascii="Arial" w:hAnsi="Arial"/>
          <w:b/>
          <w:bCs/>
          <w:color w:val="1FAFA0"/>
          <w:sz w:val="28"/>
          <w:szCs w:val="28"/>
        </w:rPr>
        <w:t>Conseils et ressources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Commencer par la partie scalabilité (autoscale + test de charge) avant d’ajouter l’App Gateway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L’App Gateway nécessite un subnet dédié (/24 minimum recommandé) et une IP publique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Le tier WAF_v2 est nécessaire pour les fonctionnalités WAF sur Application Gateway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Pour les tests d’injection SQL/XSS : utiliser des payloads simples dans les query strings (ex : ?id=1 OR 1=1)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>Attention aux coûts : l’Application Gateway WAF_v2 a un coût fixe horaire. Penser à supprimer les ressources après les tests.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color w:val="333333"/>
          <w:sz w:val="20"/>
          <w:szCs w:val="20"/>
        </w:rPr>
        <w:t xml:space="preserve">Documentation Azure : </w:t>
      </w:r>
      <w:hyperlink r:id="rId2">
        <w:r>
          <w:rPr>
            <w:rFonts w:eastAsia="Arial" w:cs="Arial" w:ascii="Arial" w:hAnsi="Arial"/>
            <w:color w:val="0563C1"/>
            <w:sz w:val="20"/>
            <w:szCs w:val="20"/>
            <w:u w:val="single"/>
          </w:rPr>
          <w:t>Application Gateway</w:t>
        </w:r>
      </w:hyperlink>
      <w:r>
        <w:rPr>
          <w:rFonts w:eastAsia="Arial" w:cs="Arial" w:ascii="Arial" w:hAnsi="Arial"/>
          <w:color w:val="333333"/>
          <w:sz w:val="20"/>
          <w:szCs w:val="20"/>
        </w:rPr>
        <w:t xml:space="preserve"> | </w:t>
      </w:r>
      <w:hyperlink r:id="rId3">
        <w:r>
          <w:rPr>
            <w:rFonts w:eastAsia="Arial" w:cs="Arial" w:ascii="Arial" w:hAnsi="Arial"/>
            <w:color w:val="0563C1"/>
            <w:sz w:val="20"/>
            <w:szCs w:val="20"/>
            <w:u w:val="single"/>
          </w:rPr>
          <w:t>WAF</w:t>
        </w:r>
      </w:hyperlink>
      <w:r>
        <w:rPr>
          <w:rFonts w:eastAsia="Arial" w:cs="Arial" w:ascii="Arial" w:hAnsi="Arial"/>
          <w:color w:val="333333"/>
          <w:sz w:val="20"/>
          <w:szCs w:val="20"/>
        </w:rPr>
        <w:t xml:space="preserve"> | </w:t>
      </w:r>
      <w:hyperlink r:id="rId4">
        <w:r>
          <w:rPr>
            <w:rFonts w:eastAsia="Arial" w:cs="Arial" w:ascii="Arial" w:hAnsi="Arial"/>
            <w:color w:val="0563C1"/>
            <w:sz w:val="20"/>
            <w:szCs w:val="20"/>
            <w:u w:val="single"/>
          </w:rPr>
          <w:t>Autoscale</w:t>
        </w:r>
      </w:hyperlink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azure/application-gateway/" TargetMode="External"/><Relationship Id="rId3" Type="http://schemas.openxmlformats.org/officeDocument/2006/relationships/hyperlink" Target="https://learn.microsoft.com/azure/web-application-firewall/" TargetMode="External"/><Relationship Id="rId4" Type="http://schemas.openxmlformats.org/officeDocument/2006/relationships/hyperlink" Target="https://learn.microsoft.com/azure/azure-monitor/autoscale/autoscale-get-starte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LibreOffice/7.6.2.1$Windows_X86_64 LibreOffice_project/56f7684011345957bbf33a7ee678afaf4d2ba333</Application>
  <AppVersion>15.0000</AppVersion>
  <Pages>3</Pages>
  <Words>720</Words>
  <Characters>4227</Characters>
  <CharactersWithSpaces>4843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2026-03-18T13:58:16Z</dcterms:created>
  <dc:creator>Un-named</dc:creator>
  <dc:description/>
  <dc:language>fr-FR</dc:language>
  <cp:lastModifiedBy/>
  <dcterms:modified xsi:type="dcterms:W3CDTF">2026-03-19T09:52:13Z</dcterms:modified>
  <cp:revision>2</cp:revision>
  <dc:subject/>
  <dc:title/>
</cp:coreProperties>
</file>