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200" w:before="600"/>
        <w:jc w:val="center"/>
      </w:pPr>
      <w:r>
        <w:rPr>
          <w:b/>
          <w:bCs/>
          <w:color w:val="1F5C8B"/>
          <w:sz w:val="52"/>
          <w:szCs w:val="52"/>
        </w:rPr>
        <w:t xml:space="preserve">Environmental Studies &amp; Quality Management</w:t>
      </w:r>
    </w:p>
    <w:p>
      <w:pPr>
        <w:spacing w:after="200" w:before="200"/>
        <w:jc w:val="center"/>
      </w:pPr>
      <w:r>
        <w:rPr>
          <w:color w:val="2E75B6"/>
          <w:sz w:val="36"/>
          <w:szCs w:val="36"/>
        </w:rPr>
        <w:t xml:space="preserve">Comprehensive Study Notes</w:t>
      </w:r>
    </w:p>
    <w:p>
      <w:pPr>
        <w:spacing w:after="600" w:before="100"/>
        <w:jc w:val="center"/>
      </w:pPr>
      <w:r>
        <w:rPr>
          <w:i/>
          <w:iCs/>
          <w:color w:val="595959"/>
          <w:sz w:val="22"/>
          <w:szCs w:val="22"/>
        </w:rPr>
        <w:t xml:space="preserve">Food Chains | Ecology | CPCB | TQM | ISO | EMS | CSR | Environmental Laws</w:t>
      </w:r>
    </w:p>
    <w:p>
      <w:pPr>
        <w:pBdr>
          <w:bottom w:val="single" w:color="1F5C8B" w:sz="6" w:space="1"/>
        </w:pBdr>
        <w:jc w:val="center"/>
      </w:pPr>
      <w:r>
        <w:t xml:space="preserve"/>
      </w:r>
    </w:p>
    <w:p>
      <w:pPr>
        <w:spacing w:after="60" w:before="60"/>
      </w:pPr>
      <w:r>
        <w:t xml:space="preserve"/>
      </w:r>
    </w:p>
    <w:p>
      <w:r>
        <w:br w:type="page"/>
      </w:r>
    </w:p>
    <w:p>
      <w:pPr>
        <w:pStyle w:val="Heading1"/>
      </w:pPr>
      <w:r>
        <w:rPr>
          <w:b/>
          <w:bCs/>
          <w:color w:val="1F5C8B"/>
          <w:sz w:val="32"/>
          <w:szCs w:val="32"/>
        </w:rPr>
        <w:t xml:space="preserve">1. Food Chain vs. Food Web</w:t>
      </w:r>
    </w:p>
    <w:p>
      <w:pPr>
        <w:spacing w:after="60" w:before="60"/>
      </w:pPr>
      <w:r>
        <w:t xml:space="preserve"/>
      </w:r>
    </w:p>
    <w:p>
      <w:pPr>
        <w:pStyle w:val="Heading2"/>
      </w:pPr>
      <w:r>
        <w:rPr>
          <w:b/>
          <w:bCs/>
          <w:color w:val="2E75B6"/>
          <w:sz w:val="26"/>
          <w:szCs w:val="26"/>
        </w:rPr>
        <w:t xml:space="preserve">1.1 Food Chain</w:t>
      </w:r>
    </w:p>
    <w:p>
      <w:pPr>
        <w:spacing w:after="120" w:before="120"/>
      </w:pPr>
      <w:r>
        <w:rPr>
          <w:sz w:val="22"/>
          <w:szCs w:val="22"/>
        </w:rPr>
        <w:t xml:space="preserve">A food chain is a linear sequence showing how energy and nutrients are transferred from one organism to another in an ecosystem. Each organism feeds on the one below it and is eaten by the one above it. It represents a single pathway of energy flow.</w:t>
      </w:r>
    </w:p>
    <w:p>
      <w:pPr>
        <w:spacing w:after="60" w:before="60"/>
      </w:pPr>
      <w:r>
        <w:t xml:space="preserve"/>
      </w:r>
    </w:p>
    <w:p>
      <w:pPr>
        <w:spacing w:after="120" w:before="120"/>
      </w:pPr>
      <w:r>
        <w:rPr>
          <w:b/>
          <w:bCs/>
          <w:sz w:val="22"/>
          <w:szCs w:val="22"/>
        </w:rPr>
        <w:t xml:space="preserve">Example: Grass → Grasshopper → Frog → Snake → Eagle</w:t>
      </w:r>
    </w:p>
    <w:p>
      <w:pPr>
        <w:spacing w:after="60" w:before="60"/>
      </w:pPr>
      <w:r>
        <w:t xml:space="preserve"/>
      </w:r>
    </w:p>
    <w:p>
      <w:pPr>
        <w:spacing w:after="120" w:before="120"/>
      </w:pPr>
      <w:r>
        <w:rPr>
          <w:b/>
          <w:bCs/>
          <w:sz w:val="22"/>
          <w:szCs w:val="22"/>
        </w:rPr>
        <w:t xml:space="preserve">Food Chain Diagram:</w:t>
      </w:r>
    </w:p>
    <w:p>
      <w:pPr>
        <w:spacing w:after="60" w:before="6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none"/>
              <w:left w:val="none"/>
              <w:bottom w:val="none"/>
              <w:right w:val="none"/>
            </w:tcBorders>
            <w:shd w:fill="FFF2CC" w:val="clear"/>
            <w:tcMar>
              <w:top w:type="dxa" w:w="60"/>
              <w:left w:type="dxa" w:w="200"/>
              <w:bottom w:type="dxa" w:w="60"/>
              <w:right w:type="dxa" w:w="200"/>
            </w:tcMar>
          </w:tcPr>
          <w:p>
            <w:pPr>
              <w:jc w:val="center"/>
            </w:pPr>
            <w:r>
              <w:rPr>
                <w:b/>
                <w:bCs/>
                <w:color w:val="000000"/>
                <w:sz w:val="22"/>
                <w:szCs w:val="22"/>
              </w:rPr>
              <w:t xml:space="preserve">Sun (Solar Energy)</w:t>
            </w:r>
          </w:p>
        </w:tc>
      </w:tr>
      <w:tr>
        <w:tc>
          <w:tcPr>
            <w:tcW w:type="dxa" w:w="6000"/>
            <w:tcBorders>
              <w:top w:val="none"/>
              <w:left w:val="none"/>
              <w:bottom w:val="none"/>
              <w:right w:val="none"/>
            </w:tcBorders>
            <w:shd w:fill="FFFFFF" w:val="clear"/>
            <w:tcMar>
              <w:top w:type="dxa" w:w="60"/>
              <w:left w:type="dxa" w:w="200"/>
              <w:bottom w:type="dxa" w:w="60"/>
              <w:right w:type="dxa" w:w="200"/>
            </w:tcMar>
          </w:tcPr>
          <w:p>
            <w:pPr>
              <w:jc w:val="center"/>
            </w:pPr>
            <w:r>
              <w:rPr>
                <w:b w:val="false"/>
                <w:bCs w:val="false"/>
                <w:color w:val="888888"/>
                <w:sz w:val="22"/>
                <w:szCs w:val="22"/>
              </w:rPr>
              <w:t xml:space="preserve">↓</w:t>
            </w:r>
          </w:p>
        </w:tc>
      </w:tr>
      <w:tr>
        <w:tc>
          <w:tcPr>
            <w:tcW w:type="dxa" w:w="6000"/>
            <w:tcBorders>
              <w:top w:val="none"/>
              <w:left w:val="none"/>
              <w:bottom w:val="none"/>
              <w:right w:val="none"/>
            </w:tcBorders>
            <w:shd w:fill="E8F5E9" w:val="clear"/>
            <w:tcMar>
              <w:top w:type="dxa" w:w="60"/>
              <w:left w:type="dxa" w:w="200"/>
              <w:bottom w:type="dxa" w:w="60"/>
              <w:right w:type="dxa" w:w="200"/>
            </w:tcMar>
          </w:tcPr>
          <w:p>
            <w:pPr>
              <w:jc w:val="center"/>
            </w:pPr>
            <w:r>
              <w:rPr>
                <w:b/>
                <w:bCs/>
                <w:color w:val="000000"/>
                <w:sz w:val="22"/>
                <w:szCs w:val="22"/>
              </w:rPr>
              <w:t xml:space="preserve">Producers (Plants / Phytoplankton)</w:t>
            </w:r>
          </w:p>
        </w:tc>
      </w:tr>
      <w:tr>
        <w:tc>
          <w:tcPr>
            <w:tcW w:type="dxa" w:w="6000"/>
            <w:tcBorders>
              <w:top w:val="none"/>
              <w:left w:val="none"/>
              <w:bottom w:val="none"/>
              <w:right w:val="none"/>
            </w:tcBorders>
            <w:shd w:fill="FFFFFF" w:val="clear"/>
            <w:tcMar>
              <w:top w:type="dxa" w:w="60"/>
              <w:left w:type="dxa" w:w="200"/>
              <w:bottom w:type="dxa" w:w="60"/>
              <w:right w:type="dxa" w:w="200"/>
            </w:tcMar>
          </w:tcPr>
          <w:p>
            <w:pPr>
              <w:jc w:val="center"/>
            </w:pPr>
            <w:r>
              <w:rPr>
                <w:b w:val="false"/>
                <w:bCs w:val="false"/>
                <w:color w:val="888888"/>
                <w:sz w:val="22"/>
                <w:szCs w:val="22"/>
              </w:rPr>
              <w:t xml:space="preserve">↓</w:t>
            </w:r>
          </w:p>
        </w:tc>
      </w:tr>
      <w:tr>
        <w:tc>
          <w:tcPr>
            <w:tcW w:type="dxa" w:w="6000"/>
            <w:tcBorders>
              <w:top w:val="none"/>
              <w:left w:val="none"/>
              <w:bottom w:val="none"/>
              <w:right w:val="none"/>
            </w:tcBorders>
            <w:shd w:fill="E8F5E9" w:val="clear"/>
            <w:tcMar>
              <w:top w:type="dxa" w:w="60"/>
              <w:left w:type="dxa" w:w="200"/>
              <w:bottom w:type="dxa" w:w="60"/>
              <w:right w:type="dxa" w:w="200"/>
            </w:tcMar>
          </w:tcPr>
          <w:p>
            <w:pPr>
              <w:jc w:val="center"/>
            </w:pPr>
            <w:r>
              <w:rPr>
                <w:b/>
                <w:bCs/>
                <w:color w:val="000000"/>
                <w:sz w:val="22"/>
                <w:szCs w:val="22"/>
              </w:rPr>
              <w:t xml:space="preserve">Primary Consumers (Herbivores – Grasshopper, Rabbit, Deer)</w:t>
            </w:r>
          </w:p>
        </w:tc>
      </w:tr>
      <w:tr>
        <w:tc>
          <w:tcPr>
            <w:tcW w:type="dxa" w:w="6000"/>
            <w:tcBorders>
              <w:top w:val="none"/>
              <w:left w:val="none"/>
              <w:bottom w:val="none"/>
              <w:right w:val="none"/>
            </w:tcBorders>
            <w:shd w:fill="FFFFFF" w:val="clear"/>
            <w:tcMar>
              <w:top w:type="dxa" w:w="60"/>
              <w:left w:type="dxa" w:w="200"/>
              <w:bottom w:type="dxa" w:w="60"/>
              <w:right w:type="dxa" w:w="200"/>
            </w:tcMar>
          </w:tcPr>
          <w:p>
            <w:pPr>
              <w:jc w:val="center"/>
            </w:pPr>
            <w:r>
              <w:rPr>
                <w:b w:val="false"/>
                <w:bCs w:val="false"/>
                <w:color w:val="888888"/>
                <w:sz w:val="22"/>
                <w:szCs w:val="22"/>
              </w:rPr>
              <w:t xml:space="preserve">↓</w:t>
            </w:r>
          </w:p>
        </w:tc>
      </w:tr>
      <w:tr>
        <w:tc>
          <w:tcPr>
            <w:tcW w:type="dxa" w:w="6000"/>
            <w:tcBorders>
              <w:top w:val="none"/>
              <w:left w:val="none"/>
              <w:bottom w:val="none"/>
              <w:right w:val="none"/>
            </w:tcBorders>
            <w:shd w:fill="E8F5E9" w:val="clear"/>
            <w:tcMar>
              <w:top w:type="dxa" w:w="60"/>
              <w:left w:type="dxa" w:w="200"/>
              <w:bottom w:type="dxa" w:w="60"/>
              <w:right w:type="dxa" w:w="200"/>
            </w:tcMar>
          </w:tcPr>
          <w:p>
            <w:pPr>
              <w:jc w:val="center"/>
            </w:pPr>
            <w:r>
              <w:rPr>
                <w:b/>
                <w:bCs/>
                <w:color w:val="000000"/>
                <w:sz w:val="22"/>
                <w:szCs w:val="22"/>
              </w:rPr>
              <w:t xml:space="preserve">Secondary Consumers (Omnivores/Carnivores – Frog, Fox)</w:t>
            </w:r>
          </w:p>
        </w:tc>
      </w:tr>
      <w:tr>
        <w:tc>
          <w:tcPr>
            <w:tcW w:type="dxa" w:w="6000"/>
            <w:tcBorders>
              <w:top w:val="none"/>
              <w:left w:val="none"/>
              <w:bottom w:val="none"/>
              <w:right w:val="none"/>
            </w:tcBorders>
            <w:shd w:fill="FFFFFF" w:val="clear"/>
            <w:tcMar>
              <w:top w:type="dxa" w:w="60"/>
              <w:left w:type="dxa" w:w="200"/>
              <w:bottom w:type="dxa" w:w="60"/>
              <w:right w:type="dxa" w:w="200"/>
            </w:tcMar>
          </w:tcPr>
          <w:p>
            <w:pPr>
              <w:jc w:val="center"/>
            </w:pPr>
            <w:r>
              <w:rPr>
                <w:b w:val="false"/>
                <w:bCs w:val="false"/>
                <w:color w:val="888888"/>
                <w:sz w:val="22"/>
                <w:szCs w:val="22"/>
              </w:rPr>
              <w:t xml:space="preserve">↓</w:t>
            </w:r>
          </w:p>
        </w:tc>
      </w:tr>
      <w:tr>
        <w:tc>
          <w:tcPr>
            <w:tcW w:type="dxa" w:w="6000"/>
            <w:tcBorders>
              <w:top w:val="none"/>
              <w:left w:val="none"/>
              <w:bottom w:val="none"/>
              <w:right w:val="none"/>
            </w:tcBorders>
            <w:shd w:fill="E8F5E9" w:val="clear"/>
            <w:tcMar>
              <w:top w:type="dxa" w:w="60"/>
              <w:left w:type="dxa" w:w="200"/>
              <w:bottom w:type="dxa" w:w="60"/>
              <w:right w:type="dxa" w:w="200"/>
            </w:tcMar>
          </w:tcPr>
          <w:p>
            <w:pPr>
              <w:jc w:val="center"/>
            </w:pPr>
            <w:r>
              <w:rPr>
                <w:b/>
                <w:bCs/>
                <w:color w:val="000000"/>
                <w:sz w:val="22"/>
                <w:szCs w:val="22"/>
              </w:rPr>
              <w:t xml:space="preserve">Tertiary Consumers (Top Carnivores – Snake, Eagle, Lion)</w:t>
            </w:r>
          </w:p>
        </w:tc>
      </w:tr>
      <w:tr>
        <w:tc>
          <w:tcPr>
            <w:tcW w:type="dxa" w:w="6000"/>
            <w:tcBorders>
              <w:top w:val="none"/>
              <w:left w:val="none"/>
              <w:bottom w:val="none"/>
              <w:right w:val="none"/>
            </w:tcBorders>
            <w:shd w:fill="FFFFFF" w:val="clear"/>
            <w:tcMar>
              <w:top w:type="dxa" w:w="60"/>
              <w:left w:type="dxa" w:w="200"/>
              <w:bottom w:type="dxa" w:w="60"/>
              <w:right w:type="dxa" w:w="200"/>
            </w:tcMar>
          </w:tcPr>
          <w:p>
            <w:pPr>
              <w:jc w:val="center"/>
            </w:pPr>
            <w:r>
              <w:rPr>
                <w:b w:val="false"/>
                <w:bCs w:val="false"/>
                <w:color w:val="888888"/>
                <w:sz w:val="22"/>
                <w:szCs w:val="22"/>
              </w:rPr>
              <w:t xml:space="preserve">↓</w:t>
            </w:r>
          </w:p>
        </w:tc>
      </w:tr>
      <w:tr>
        <w:tc>
          <w:tcPr>
            <w:tcW w:type="dxa" w:w="6000"/>
            <w:tcBorders>
              <w:top w:val="none"/>
              <w:left w:val="none"/>
              <w:bottom w:val="none"/>
              <w:right w:val="none"/>
            </w:tcBorders>
            <w:shd w:fill="E8F5E9" w:val="clear"/>
            <w:tcMar>
              <w:top w:type="dxa" w:w="60"/>
              <w:left w:type="dxa" w:w="200"/>
              <w:bottom w:type="dxa" w:w="60"/>
              <w:right w:type="dxa" w:w="200"/>
            </w:tcMar>
          </w:tcPr>
          <w:p>
            <w:pPr>
              <w:jc w:val="center"/>
            </w:pPr>
            <w:r>
              <w:rPr>
                <w:b/>
                <w:bCs/>
                <w:color w:val="000000"/>
                <w:sz w:val="22"/>
                <w:szCs w:val="22"/>
              </w:rPr>
              <w:t xml:space="preserve">Decomposers (Bacteria, Fungi)</w:t>
            </w:r>
          </w:p>
        </w:tc>
      </w:tr>
    </w:tbl>
    <w:p>
      <w:pPr>
        <w:spacing w:after="60" w:before="60"/>
      </w:pPr>
      <w:r>
        <w:t xml:space="preserve"/>
      </w:r>
    </w:p>
    <w:p>
      <w:pPr>
        <w:pStyle w:val="Heading2"/>
      </w:pPr>
      <w:r>
        <w:rPr>
          <w:b/>
          <w:bCs/>
          <w:color w:val="2E75B6"/>
          <w:sz w:val="26"/>
          <w:szCs w:val="26"/>
        </w:rPr>
        <w:t xml:space="preserve">1.2 Food Web</w:t>
      </w:r>
    </w:p>
    <w:p>
      <w:pPr>
        <w:spacing w:after="120" w:before="120"/>
      </w:pPr>
      <w:r>
        <w:rPr>
          <w:sz w:val="22"/>
          <w:szCs w:val="22"/>
        </w:rPr>
        <w:t xml:space="preserve">A food web is a complex network of interconnected food chains in an ecosystem. It shows multiple feeding relationships and pathways of energy flow. It is more realistic than a food chain because organisms typically have more than one food source and predator.</w:t>
      </w:r>
    </w:p>
    <w:p>
      <w:pPr>
        <w:spacing w:after="60" w:before="60"/>
      </w:pPr>
      <w:r>
        <w:t xml:space="preserve"/>
      </w:r>
    </w:p>
    <w:p>
      <w:pPr>
        <w:spacing w:after="120" w:before="120"/>
      </w:pPr>
      <w:r>
        <w:rPr>
          <w:sz w:val="22"/>
          <w:szCs w:val="22"/>
        </w:rPr>
        <w:t xml:space="preserve">Example: In a forest ecosystem, rabbits eat grass and also leaves; foxes eat rabbits, birds, and mice; thus forming a web of feeding relationships.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1F5C8B" w:sz="1"/>
              <w:left w:val="single" w:color="1F5C8B" w:sz="1"/>
              <w:bottom w:val="single" w:color="1F5C8B" w:sz="1"/>
              <w:right w:val="single" w:color="1F5C8B" w:sz="1"/>
            </w:tcBorders>
            <w:shd w:fill="1F5C8B" w:val="clear"/>
            <w:tcMar>
              <w:top w:type="dxa" w:w="100"/>
              <w:left w:type="dxa" w:w="150"/>
              <w:bottom w:type="dxa" w:w="100"/>
              <w:right w:type="dxa" w:w="150"/>
            </w:tcMar>
          </w:tcPr>
          <w:p>
            <w:r>
              <w:rPr>
                <w:b/>
                <w:bCs/>
                <w:color w:val="FFFFFF"/>
                <w:sz w:val="22"/>
                <w:szCs w:val="22"/>
              </w:rPr>
              <w:t xml:space="preserve">Aspect</w:t>
            </w:r>
          </w:p>
        </w:tc>
        <w:tc>
          <w:tcPr>
            <w:tcW w:type="dxa" w:w="3480"/>
            <w:tcBorders>
              <w:top w:val="single" w:color="1F5C8B" w:sz="1"/>
              <w:left w:val="single" w:color="1F5C8B" w:sz="1"/>
              <w:bottom w:val="single" w:color="1F5C8B" w:sz="1"/>
              <w:right w:val="single" w:color="1F5C8B" w:sz="1"/>
            </w:tcBorders>
            <w:shd w:fill="1F5C8B" w:val="clear"/>
            <w:tcMar>
              <w:top w:type="dxa" w:w="100"/>
              <w:left w:type="dxa" w:w="150"/>
              <w:bottom w:type="dxa" w:w="100"/>
              <w:right w:type="dxa" w:w="150"/>
            </w:tcMar>
          </w:tcPr>
          <w:p>
            <w:r>
              <w:rPr>
                <w:b/>
                <w:bCs/>
                <w:color w:val="FFFFFF"/>
                <w:sz w:val="22"/>
                <w:szCs w:val="22"/>
              </w:rPr>
              <w:t xml:space="preserve">Food Chain</w:t>
            </w:r>
          </w:p>
        </w:tc>
        <w:tc>
          <w:tcPr>
            <w:tcW w:type="dxa" w:w="3480"/>
            <w:tcBorders>
              <w:top w:val="single" w:color="1F5C8B" w:sz="1"/>
              <w:left w:val="single" w:color="1F5C8B" w:sz="1"/>
              <w:bottom w:val="single" w:color="1F5C8B" w:sz="1"/>
              <w:right w:val="single" w:color="1F5C8B" w:sz="1"/>
            </w:tcBorders>
            <w:shd w:fill="1F5C8B" w:val="clear"/>
            <w:tcMar>
              <w:top w:type="dxa" w:w="100"/>
              <w:left w:type="dxa" w:w="150"/>
              <w:bottom w:type="dxa" w:w="100"/>
              <w:right w:type="dxa" w:w="150"/>
            </w:tcMar>
          </w:tcPr>
          <w:p>
            <w:r>
              <w:rPr>
                <w:b/>
                <w:bCs/>
                <w:color w:val="FFFFFF"/>
                <w:sz w:val="22"/>
                <w:szCs w:val="22"/>
              </w:rPr>
              <w:t xml:space="preserve">Food Web</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Definition</w:t>
            </w:r>
          </w:p>
        </w:tc>
        <w:tc>
          <w:tcPr>
            <w:tcW w:type="dxa" w:w="34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Linear sequence of organisms</w:t>
            </w:r>
          </w:p>
        </w:tc>
        <w:tc>
          <w:tcPr>
            <w:tcW w:type="dxa" w:w="34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Network of interconnected food chains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Structure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Single, straight-line pathway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Complex, branched network</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Stability</w:t>
            </w:r>
          </w:p>
        </w:tc>
        <w:tc>
          <w:tcPr>
            <w:tcW w:type="dxa" w:w="34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Less stable; disruption affects all</w:t>
            </w:r>
          </w:p>
        </w:tc>
        <w:tc>
          <w:tcPr>
            <w:tcW w:type="dxa" w:w="34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More stable; alternative pathways exist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Number of organisms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Few organisms involved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Many organisms interconnected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Energy flow</w:t>
            </w:r>
          </w:p>
        </w:tc>
        <w:tc>
          <w:tcPr>
            <w:tcW w:type="dxa" w:w="34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One direction, one path</w:t>
            </w:r>
          </w:p>
        </w:tc>
        <w:tc>
          <w:tcPr>
            <w:tcW w:type="dxa" w:w="348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Multiple directions, multiple paths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Realism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Simplified model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Realistic model of nature</w:t>
            </w:r>
          </w:p>
        </w:tc>
      </w:tr>
    </w:tbl>
    <w:p>
      <w:pPr>
        <w:spacing w:after="60" w:before="60"/>
      </w:pPr>
      <w:r>
        <w:t xml:space="preserve"/>
      </w:r>
    </w:p>
    <w:p>
      <w:r>
        <w:br w:type="page"/>
      </w:r>
    </w:p>
    <w:p>
      <w:pPr>
        <w:pStyle w:val="Heading1"/>
      </w:pPr>
      <w:r>
        <w:rPr>
          <w:b/>
          <w:bCs/>
          <w:color w:val="1F5C8B"/>
          <w:sz w:val="32"/>
          <w:szCs w:val="32"/>
        </w:rPr>
        <w:t xml:space="preserve">2. Ecological Pyramid</w:t>
      </w:r>
    </w:p>
    <w:p>
      <w:pPr>
        <w:spacing w:after="120" w:before="120"/>
      </w:pPr>
      <w:r>
        <w:rPr>
          <w:sz w:val="22"/>
          <w:szCs w:val="22"/>
        </w:rPr>
        <w:t xml:space="preserve">An ecological pyramid (also called Eltonian pyramid) is a graphical representation showing the relationship between different trophic levels of an ecosystem in terms of energy, biomass, or number of organisms. The shape is typically pyramidal because energy is lost at each trophic level.</w:t>
      </w:r>
    </w:p>
    <w:p>
      <w:pPr>
        <w:spacing w:after="60" w:before="60"/>
      </w:pPr>
      <w:r>
        <w:t xml:space="preserve"/>
      </w:r>
    </w:p>
    <w:p>
      <w:pPr>
        <w:pStyle w:val="Heading2"/>
      </w:pPr>
      <w:r>
        <w:rPr>
          <w:b/>
          <w:bCs/>
          <w:color w:val="2E75B6"/>
          <w:sz w:val="26"/>
          <w:szCs w:val="26"/>
        </w:rPr>
        <w:t xml:space="preserve">Types of Ecological Pyramids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460"/>
        <w:gridCol w:w="2400"/>
      </w:tblGrid>
      <w:tr>
        <w:trPr>
          <w:tblHeader/>
        </w:trPr>
        <w:tc>
          <w:tcPr>
            <w:tcW w:type="dxa" w:w="2500"/>
            <w:tcBorders>
              <w:top w:val="single" w:color="1F5C8B" w:sz="1"/>
              <w:left w:val="single" w:color="1F5C8B" w:sz="1"/>
              <w:bottom w:val="single" w:color="1F5C8B" w:sz="1"/>
              <w:right w:val="single" w:color="1F5C8B" w:sz="1"/>
            </w:tcBorders>
            <w:shd w:fill="1F5C8B" w:val="clear"/>
            <w:tcMar>
              <w:top w:type="dxa" w:w="100"/>
              <w:left w:type="dxa" w:w="150"/>
              <w:bottom w:type="dxa" w:w="100"/>
              <w:right w:type="dxa" w:w="150"/>
            </w:tcMar>
          </w:tcPr>
          <w:p>
            <w:r>
              <w:rPr>
                <w:b/>
                <w:bCs/>
                <w:color w:val="FFFFFF"/>
                <w:sz w:val="22"/>
                <w:szCs w:val="22"/>
              </w:rPr>
              <w:t xml:space="preserve">Type</w:t>
            </w:r>
          </w:p>
        </w:tc>
        <w:tc>
          <w:tcPr>
            <w:tcW w:type="dxa" w:w="4460"/>
            <w:tcBorders>
              <w:top w:val="single" w:color="1F5C8B" w:sz="1"/>
              <w:left w:val="single" w:color="1F5C8B" w:sz="1"/>
              <w:bottom w:val="single" w:color="1F5C8B" w:sz="1"/>
              <w:right w:val="single" w:color="1F5C8B" w:sz="1"/>
            </w:tcBorders>
            <w:shd w:fill="1F5C8B" w:val="clear"/>
            <w:tcMar>
              <w:top w:type="dxa" w:w="100"/>
              <w:left w:type="dxa" w:w="150"/>
              <w:bottom w:type="dxa" w:w="100"/>
              <w:right w:type="dxa" w:w="150"/>
            </w:tcMar>
          </w:tcPr>
          <w:p>
            <w:r>
              <w:rPr>
                <w:b/>
                <w:bCs/>
                <w:color w:val="FFFFFF"/>
                <w:sz w:val="22"/>
                <w:szCs w:val="22"/>
              </w:rPr>
              <w:t xml:space="preserve">Description</w:t>
            </w:r>
          </w:p>
        </w:tc>
        <w:tc>
          <w:tcPr>
            <w:tcW w:type="dxa" w:w="2400"/>
            <w:tcBorders>
              <w:top w:val="single" w:color="1F5C8B" w:sz="1"/>
              <w:left w:val="single" w:color="1F5C8B" w:sz="1"/>
              <w:bottom w:val="single" w:color="1F5C8B" w:sz="1"/>
              <w:right w:val="single" w:color="1F5C8B" w:sz="1"/>
            </w:tcBorders>
            <w:shd w:fill="1F5C8B" w:val="clear"/>
            <w:tcMar>
              <w:top w:type="dxa" w:w="100"/>
              <w:left w:type="dxa" w:w="150"/>
              <w:bottom w:type="dxa" w:w="100"/>
              <w:right w:type="dxa" w:w="150"/>
            </w:tcMar>
          </w:tcPr>
          <w:p>
            <w:r>
              <w:rPr>
                <w:b/>
                <w:bCs/>
                <w:color w:val="FFFFFF"/>
                <w:sz w:val="22"/>
                <w:szCs w:val="22"/>
              </w:rPr>
              <w:t xml:space="preserve">Shape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Pyramid of Numbers</w:t>
            </w:r>
          </w:p>
        </w:tc>
        <w:tc>
          <w:tcPr>
            <w:tcW w:type="dxa" w:w="44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Represents the number of organisms at each trophic level</w:t>
            </w:r>
          </w:p>
        </w:tc>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Upright (usually)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Pyramid of Biomass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Represents the total dry weight of organisms at each level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Upright (terrestrial); Inverted (aquatic)</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Pyramid of Energy</w:t>
            </w:r>
          </w:p>
        </w:tc>
        <w:tc>
          <w:tcPr>
            <w:tcW w:type="dxa" w:w="44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Represents the total energy at each trophic level</w:t>
            </w:r>
          </w:p>
        </w:tc>
        <w:tc>
          <w:tcPr>
            <w:tcW w:type="dxa" w:w="2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Always upright; most accurate</w:t>
            </w:r>
          </w:p>
        </w:tc>
      </w:tr>
    </w:tbl>
    <w:p>
      <w:pPr>
        <w:spacing w:after="60" w:before="60"/>
      </w:pPr>
      <w:r>
        <w:t xml:space="preserve"/>
      </w:r>
    </w:p>
    <w:p>
      <w:pPr>
        <w:pStyle w:val="Heading2"/>
      </w:pPr>
      <w:r>
        <w:rPr>
          <w:b/>
          <w:bCs/>
          <w:color w:val="2E75B6"/>
          <w:sz w:val="26"/>
          <w:szCs w:val="26"/>
        </w:rPr>
        <w:t xml:space="preserve">Ecological Pyramid Diagram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tcMar>
              <w:top w:type="dxa" w:w="0"/>
              <w:left w:type="dxa" w:w="0"/>
              <w:bottom w:type="dxa" w:w="0"/>
              <w:right w:type="dxa" w:w="0"/>
            </w:tcMar>
          </w:tcPr>
          <w:p>
            <w:pPr>
              <w:ind w:left="3480"/>
            </w:pPr>
            <w:r>
              <w:rPr>
                <w:sz w:val="1"/>
                <w:szCs w:val="1"/>
              </w:rPr>
              <w:t xml:space="preserve"/>
            </w:r>
          </w:p>
          <w:tbl>
            <w:tblPr>
              <w:tblW w:type="dxa" w:w="2400"/>
              <w:tblInd w:type="dxa" w:w="348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1F5C8B" w:sz="1"/>
                    <w:left w:val="single" w:color="1F5C8B" w:sz="1"/>
                    <w:bottom w:val="single" w:color="1F5C8B" w:sz="1"/>
                    <w:right w:val="single" w:color="1F5C8B" w:sz="1"/>
                  </w:tcBorders>
                  <w:shd w:fill="C00000" w:val="clear"/>
                  <w:tcMar>
                    <w:top w:type="dxa" w:w="80"/>
                    <w:left w:type="dxa" w:w="150"/>
                    <w:bottom w:type="dxa" w:w="80"/>
                    <w:right w:type="dxa" w:w="150"/>
                  </w:tcMar>
                </w:tcPr>
                <w:p>
                  <w:pPr>
                    <w:jc w:val="center"/>
                  </w:pPr>
                  <w:r>
                    <w:rPr>
                      <w:b/>
                      <w:bCs/>
                      <w:color w:val="FFFFFF"/>
                      <w:sz w:val="18"/>
                      <w:szCs w:val="18"/>
                    </w:rPr>
                    <w:t xml:space="preserve">Top Carnivores (Tertiary Consumers) – Least Energy</w:t>
                  </w:r>
                </w:p>
              </w:tc>
            </w:tr>
          </w:tbl>
          <w:p/>
        </w:tc>
      </w:tr>
      <w:tr>
        <w:tc>
          <w:tcPr>
            <w:tcW w:type="dxa" w:w="9360"/>
            <w:tcBorders>
              <w:top w:val="none"/>
              <w:left w:val="none"/>
              <w:bottom w:val="none"/>
              <w:right w:val="none"/>
            </w:tcBorders>
            <w:tcMar>
              <w:top w:type="dxa" w:w="0"/>
              <w:left w:type="dxa" w:w="0"/>
              <w:bottom w:type="dxa" w:w="0"/>
              <w:right w:type="dxa" w:w="0"/>
            </w:tcMar>
          </w:tcPr>
          <w:p>
            <w:pPr>
              <w:ind w:left="2680"/>
            </w:pPr>
            <w:r>
              <w:rPr>
                <w:sz w:val="1"/>
                <w:szCs w:val="1"/>
              </w:rPr>
              <w:t xml:space="preserve"/>
            </w:r>
          </w:p>
          <w:tbl>
            <w:tblPr>
              <w:tblW w:type="dxa" w:w="4000"/>
              <w:tblInd w:type="dxa" w:w="268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1F5C8B" w:sz="1"/>
                    <w:left w:val="single" w:color="1F5C8B" w:sz="1"/>
                    <w:bottom w:val="single" w:color="1F5C8B" w:sz="1"/>
                    <w:right w:val="single" w:color="1F5C8B" w:sz="1"/>
                  </w:tcBorders>
                  <w:shd w:fill="E06C00" w:val="clear"/>
                  <w:tcMar>
                    <w:top w:type="dxa" w:w="80"/>
                    <w:left w:type="dxa" w:w="150"/>
                    <w:bottom w:type="dxa" w:w="80"/>
                    <w:right w:type="dxa" w:w="150"/>
                  </w:tcMar>
                </w:tcPr>
                <w:p>
                  <w:pPr>
                    <w:jc w:val="center"/>
                  </w:pPr>
                  <w:r>
                    <w:rPr>
                      <w:b/>
                      <w:bCs/>
                      <w:color w:val="FFFFFF"/>
                      <w:sz w:val="18"/>
                      <w:szCs w:val="18"/>
                    </w:rPr>
                    <w:t xml:space="preserve">Secondary Consumers (Carnivores) – Less Energy</w:t>
                  </w:r>
                </w:p>
              </w:tc>
            </w:tr>
          </w:tbl>
          <w:p/>
        </w:tc>
      </w:tr>
      <w:tr>
        <w:tc>
          <w:tcPr>
            <w:tcW w:type="dxa" w:w="9360"/>
            <w:tcBorders>
              <w:top w:val="none"/>
              <w:left w:val="none"/>
              <w:bottom w:val="none"/>
              <w:right w:val="none"/>
            </w:tcBorders>
            <w:tcMar>
              <w:top w:type="dxa" w:w="0"/>
              <w:left w:type="dxa" w:w="0"/>
              <w:bottom w:type="dxa" w:w="0"/>
              <w:right w:type="dxa" w:w="0"/>
            </w:tcMar>
          </w:tcPr>
          <w:p>
            <w:pPr>
              <w:ind w:left="1880"/>
            </w:pPr>
            <w:r>
              <w:rPr>
                <w:sz w:val="1"/>
                <w:szCs w:val="1"/>
              </w:rPr>
              <w:t xml:space="preserve"/>
            </w:r>
          </w:p>
          <w:tbl>
            <w:tblPr>
              <w:tblW w:type="dxa" w:w="5600"/>
              <w:tblInd w:type="dxa" w:w="1880"/>
              <w:tblBorders>
                <w:top w:val="single" w:color="auto" w:sz="4"/>
                <w:left w:val="single" w:color="auto" w:sz="4"/>
                <w:bottom w:val="single" w:color="auto" w:sz="4"/>
                <w:right w:val="single" w:color="auto" w:sz="4"/>
                <w:insideH w:val="single" w:color="auto" w:sz="4"/>
                <w:insideV w:val="single" w:color="auto" w:sz="4"/>
              </w:tblBorders>
            </w:tblPr>
            <w:tblGrid>
              <w:gridCol w:w="5600"/>
            </w:tblGrid>
            <w:tr>
              <w:tc>
                <w:tcPr>
                  <w:tcW w:type="dxa" w:w="5600"/>
                  <w:tcBorders>
                    <w:top w:val="single" w:color="1F5C8B" w:sz="1"/>
                    <w:left w:val="single" w:color="1F5C8B" w:sz="1"/>
                    <w:bottom w:val="single" w:color="1F5C8B" w:sz="1"/>
                    <w:right w:val="single" w:color="1F5C8B" w:sz="1"/>
                  </w:tcBorders>
                  <w:shd w:fill="F0A000" w:val="clear"/>
                  <w:tcMar>
                    <w:top w:type="dxa" w:w="80"/>
                    <w:left w:type="dxa" w:w="150"/>
                    <w:bottom w:type="dxa" w:w="80"/>
                    <w:right w:type="dxa" w:w="150"/>
                  </w:tcMar>
                </w:tcPr>
                <w:p>
                  <w:pPr>
                    <w:jc w:val="center"/>
                  </w:pPr>
                  <w:r>
                    <w:rPr>
                      <w:b/>
                      <w:bCs/>
                      <w:color w:val="FFFFFF"/>
                      <w:sz w:val="18"/>
                      <w:szCs w:val="18"/>
                    </w:rPr>
                    <w:t xml:space="preserve">Primary Consumers (Herbivores) – More Energy</w:t>
                  </w:r>
                </w:p>
              </w:tc>
            </w:tr>
          </w:tbl>
          <w:p/>
        </w:tc>
      </w:tr>
      <w:tr>
        <w:tc>
          <w:tcPr>
            <w:tcW w:type="dxa" w:w="9360"/>
            <w:tcBorders>
              <w:top w:val="none"/>
              <w:left w:val="none"/>
              <w:bottom w:val="none"/>
              <w:right w:val="none"/>
            </w:tcBorders>
            <w:tcMar>
              <w:top w:type="dxa" w:w="0"/>
              <w:left w:type="dxa" w:w="0"/>
              <w:bottom w:type="dxa" w:w="0"/>
              <w:right w:type="dxa" w:w="0"/>
            </w:tcMar>
          </w:tcPr>
          <w:p>
            <w:pPr>
              <w:ind w:left="1080"/>
            </w:pPr>
            <w:r>
              <w:rPr>
                <w:sz w:val="1"/>
                <w:szCs w:val="1"/>
              </w:rPr>
              <w:t xml:space="preserve"/>
            </w:r>
          </w:p>
          <w:tbl>
            <w:tblPr>
              <w:tblW w:type="dxa" w:w="7200"/>
              <w:tblInd w:type="dxa" w:w="108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1F5C8B" w:sz="1"/>
                    <w:left w:val="single" w:color="1F5C8B" w:sz="1"/>
                    <w:bottom w:val="single" w:color="1F5C8B" w:sz="1"/>
                    <w:right w:val="single" w:color="1F5C8B" w:sz="1"/>
                  </w:tcBorders>
                  <w:shd w:fill="548235" w:val="clear"/>
                  <w:tcMar>
                    <w:top w:type="dxa" w:w="80"/>
                    <w:left w:type="dxa" w:w="150"/>
                    <w:bottom w:type="dxa" w:w="80"/>
                    <w:right w:type="dxa" w:w="150"/>
                  </w:tcMar>
                </w:tcPr>
                <w:p>
                  <w:pPr>
                    <w:jc w:val="center"/>
                  </w:pPr>
                  <w:r>
                    <w:rPr>
                      <w:b/>
                      <w:bCs/>
                      <w:color w:val="FFFFFF"/>
                      <w:sz w:val="18"/>
                      <w:szCs w:val="18"/>
                    </w:rPr>
                    <w:t xml:space="preserve">Producers (Plants) – Maximum Energy</w:t>
                  </w:r>
                </w:p>
              </w:tc>
            </w:tr>
          </w:tbl>
          <w:p/>
        </w:tc>
      </w:tr>
      <w:tr>
        <w:tc>
          <w:tcPr>
            <w:tcW w:type="dxa" w:w="9360"/>
            <w:tcBorders>
              <w:top w:val="none"/>
              <w:left w:val="none"/>
              <w:bottom w:val="none"/>
              <w:right w:val="none"/>
            </w:tcBorders>
            <w:tcMar>
              <w:top w:type="dxa" w:w="0"/>
              <w:left w:type="dxa" w:w="0"/>
              <w:bottom w:type="dxa" w:w="0"/>
              <w:right w:type="dxa" w:w="0"/>
            </w:tcMar>
          </w:tcPr>
          <w:p>
            <w:pPr>
              <w:ind w:left="180"/>
            </w:pPr>
            <w:r>
              <w:rPr>
                <w:sz w:val="1"/>
                <w:szCs w:val="1"/>
              </w:rPr>
              <w:t xml:space="preserve"/>
            </w:r>
          </w:p>
          <w:tbl>
            <w:tblPr>
              <w:tblW w:type="dxa" w:w="9000"/>
              <w:tblInd w:type="dxa" w:w="18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F5C8B" w:sz="1"/>
                    <w:left w:val="single" w:color="1F5C8B" w:sz="1"/>
                    <w:bottom w:val="single" w:color="1F5C8B" w:sz="1"/>
                    <w:right w:val="single" w:color="1F5C8B" w:sz="1"/>
                  </w:tcBorders>
                  <w:shd w:fill="1F5C8B" w:val="clear"/>
                  <w:tcMar>
                    <w:top w:type="dxa" w:w="80"/>
                    <w:left w:type="dxa" w:w="150"/>
                    <w:bottom w:type="dxa" w:w="80"/>
                    <w:right w:type="dxa" w:w="150"/>
                  </w:tcMar>
                </w:tcPr>
                <w:p>
                  <w:pPr>
                    <w:jc w:val="center"/>
                  </w:pPr>
                  <w:r>
                    <w:rPr>
                      <w:b/>
                      <w:bCs/>
                      <w:color w:val="FFFFFF"/>
                      <w:sz w:val="18"/>
                      <w:szCs w:val="18"/>
                    </w:rPr>
                    <w:t xml:space="preserve">Abiotic Environment (Sun, Soil, Water)</w:t>
                  </w:r>
                </w:p>
              </w:tc>
            </w:tr>
          </w:tbl>
          <w:p/>
        </w:tc>
      </w:tr>
    </w:tbl>
    <w:p>
      <w:pPr>
        <w:spacing w:after="60" w:before="60"/>
      </w:pPr>
      <w:r>
        <w:t xml:space="preserve"/>
      </w:r>
    </w:p>
    <w:p>
      <w:pPr>
        <w:pStyle w:val="Heading3"/>
      </w:pPr>
      <w:r>
        <w:rPr>
          <w:b/>
          <w:bCs/>
          <w:color w:val="2F5496"/>
          <w:sz w:val="24"/>
          <w:szCs w:val="24"/>
        </w:rPr>
        <w:t xml:space="preserve">Key Features:</w:t>
      </w:r>
    </w:p>
    <w:p>
      <w:pPr>
        <w:pStyle w:val="ListParagraph"/>
        <w:numPr>
          <w:ilvl w:val="0"/>
          <w:numId w:val="2"/>
        </w:numPr>
        <w:spacing w:after="60" w:before="60"/>
      </w:pPr>
      <w:r>
        <w:rPr>
          <w:sz w:val="22"/>
          <w:szCs w:val="22"/>
        </w:rPr>
        <w:t xml:space="preserve">10% Law: Only 10% of energy is transferred from one trophic level to the next (90% is lost as heat)</w:t>
      </w:r>
    </w:p>
    <w:p>
      <w:pPr>
        <w:pStyle w:val="ListParagraph"/>
        <w:numPr>
          <w:ilvl w:val="0"/>
          <w:numId w:val="2"/>
        </w:numPr>
        <w:spacing w:after="60" w:before="60"/>
      </w:pPr>
      <w:r>
        <w:rPr>
          <w:sz w:val="22"/>
          <w:szCs w:val="22"/>
        </w:rPr>
        <w:t xml:space="preserve">The base (producers) always has the most energy and biomass</w:t>
      </w:r>
    </w:p>
    <w:p>
      <w:pPr>
        <w:pStyle w:val="ListParagraph"/>
        <w:numPr>
          <w:ilvl w:val="0"/>
          <w:numId w:val="2"/>
        </w:numPr>
        <w:spacing w:after="60" w:before="60"/>
      </w:pPr>
      <w:r>
        <w:rPr>
          <w:sz w:val="22"/>
          <w:szCs w:val="22"/>
        </w:rPr>
        <w:t xml:space="preserve">The apex (top carnivores) always has the least energy</w:t>
      </w:r>
    </w:p>
    <w:p>
      <w:pPr>
        <w:pStyle w:val="ListParagraph"/>
        <w:numPr>
          <w:ilvl w:val="0"/>
          <w:numId w:val="2"/>
        </w:numPr>
        <w:spacing w:after="60" w:before="60"/>
      </w:pPr>
      <w:r>
        <w:rPr>
          <w:sz w:val="22"/>
          <w:szCs w:val="22"/>
        </w:rPr>
        <w:t xml:space="preserve">Decomposers break down dead organisms and recycle nutrients back to soil</w:t>
      </w:r>
    </w:p>
    <w:p>
      <w:pPr>
        <w:spacing w:after="60" w:before="60"/>
      </w:pPr>
      <w:r>
        <w:t xml:space="preserve"/>
      </w:r>
    </w:p>
    <w:p>
      <w:r>
        <w:br w:type="page"/>
      </w:r>
    </w:p>
    <w:p>
      <w:pPr>
        <w:pStyle w:val="Heading1"/>
      </w:pPr>
      <w:r>
        <w:rPr>
          <w:b/>
          <w:bCs/>
          <w:color w:val="1F5C8B"/>
          <w:sz w:val="32"/>
          <w:szCs w:val="32"/>
        </w:rPr>
        <w:t xml:space="preserve">3. Functions and Powers of CPCB (Central Pollution Control Board)</w:t>
      </w:r>
    </w:p>
    <w:p>
      <w:pPr>
        <w:spacing w:after="120" w:before="120"/>
      </w:pPr>
      <w:r>
        <w:rPr>
          <w:sz w:val="22"/>
          <w:szCs w:val="22"/>
        </w:rPr>
        <w:t xml:space="preserve">The Central Pollution Control Board (CPCB) was constituted in September 1974 under the Water (Prevention and Control of Pollution) Act, 1974. It is a statutory body under the Ministry of Environment, Forest and Climate Change (MoEFCC), Government of India.</w:t>
      </w:r>
    </w:p>
    <w:p>
      <w:pPr>
        <w:spacing w:after="60" w:before="60"/>
      </w:pPr>
      <w:r>
        <w:t xml:space="preserve"/>
      </w:r>
    </w:p>
    <w:p>
      <w:pPr>
        <w:pStyle w:val="Heading2"/>
      </w:pPr>
      <w:r>
        <w:rPr>
          <w:b/>
          <w:bCs/>
          <w:color w:val="2E75B6"/>
          <w:sz w:val="26"/>
          <w:szCs w:val="26"/>
        </w:rPr>
        <w:t xml:space="preserve">3.1 Functions of CPCB</w:t>
      </w:r>
    </w:p>
    <w:p>
      <w:pPr>
        <w:pStyle w:val="Heading3"/>
      </w:pPr>
      <w:r>
        <w:rPr>
          <w:b/>
          <w:bCs/>
          <w:color w:val="2F5496"/>
          <w:sz w:val="24"/>
          <w:szCs w:val="24"/>
        </w:rPr>
        <w:t xml:space="preserve">A) Under Water (Prevention and Control of Pollution) Act, 1974:</w:t>
      </w:r>
    </w:p>
    <w:p>
      <w:pPr>
        <w:pStyle w:val="ListParagraph"/>
        <w:numPr>
          <w:ilvl w:val="0"/>
          <w:numId w:val="2"/>
        </w:numPr>
        <w:spacing w:after="60" w:before="60"/>
      </w:pPr>
      <w:r>
        <w:rPr>
          <w:sz w:val="22"/>
          <w:szCs w:val="22"/>
        </w:rPr>
        <w:t xml:space="preserve">Promote cleanliness of streams and wells in different areas of the States</w:t>
      </w:r>
    </w:p>
    <w:p>
      <w:pPr>
        <w:pStyle w:val="ListParagraph"/>
        <w:numPr>
          <w:ilvl w:val="0"/>
          <w:numId w:val="2"/>
        </w:numPr>
        <w:spacing w:after="60" w:before="60"/>
      </w:pPr>
      <w:r>
        <w:rPr>
          <w:sz w:val="22"/>
          <w:szCs w:val="22"/>
        </w:rPr>
        <w:t xml:space="preserve">Advise the Central Government on matters related to water pollution</w:t>
      </w:r>
    </w:p>
    <w:p>
      <w:pPr>
        <w:pStyle w:val="ListParagraph"/>
        <w:numPr>
          <w:ilvl w:val="0"/>
          <w:numId w:val="2"/>
        </w:numPr>
        <w:spacing w:after="60" w:before="60"/>
      </w:pPr>
      <w:r>
        <w:rPr>
          <w:sz w:val="22"/>
          <w:szCs w:val="22"/>
        </w:rPr>
        <w:t xml:space="preserve">Co-ordinate activities of the State Pollution Control Boards (SPCBs)</w:t>
      </w:r>
    </w:p>
    <w:p>
      <w:pPr>
        <w:pStyle w:val="ListParagraph"/>
        <w:numPr>
          <w:ilvl w:val="0"/>
          <w:numId w:val="2"/>
        </w:numPr>
        <w:spacing w:after="60" w:before="60"/>
      </w:pPr>
      <w:r>
        <w:rPr>
          <w:sz w:val="22"/>
          <w:szCs w:val="22"/>
        </w:rPr>
        <w:t xml:space="preserve">Provide technical assistance, training, and guidance to SPCBs</w:t>
      </w:r>
    </w:p>
    <w:p>
      <w:pPr>
        <w:pStyle w:val="ListParagraph"/>
        <w:numPr>
          <w:ilvl w:val="0"/>
          <w:numId w:val="2"/>
        </w:numPr>
        <w:spacing w:after="60" w:before="60"/>
      </w:pPr>
      <w:r>
        <w:rPr>
          <w:sz w:val="22"/>
          <w:szCs w:val="22"/>
        </w:rPr>
        <w:t xml:space="preserve">Carry out and sponsor investigations relating to pollution problems</w:t>
      </w:r>
    </w:p>
    <w:p>
      <w:pPr>
        <w:pStyle w:val="ListParagraph"/>
        <w:numPr>
          <w:ilvl w:val="0"/>
          <w:numId w:val="2"/>
        </w:numPr>
        <w:spacing w:after="60" w:before="60"/>
      </w:pPr>
      <w:r>
        <w:rPr>
          <w:sz w:val="22"/>
          <w:szCs w:val="22"/>
        </w:rPr>
        <w:t xml:space="preserve">Collect, compile and publish technical and statistical data on water pollution</w:t>
      </w:r>
    </w:p>
    <w:p>
      <w:pPr>
        <w:spacing w:after="60" w:before="60"/>
      </w:pPr>
      <w:r>
        <w:t xml:space="preserve"/>
      </w:r>
    </w:p>
    <w:p>
      <w:pPr>
        <w:pStyle w:val="Heading3"/>
      </w:pPr>
      <w:r>
        <w:rPr>
          <w:b/>
          <w:bCs/>
          <w:color w:val="2F5496"/>
          <w:sz w:val="24"/>
          <w:szCs w:val="24"/>
        </w:rPr>
        <w:t xml:space="preserve">B) Under Air (Prevention and Control of Pollution) Act, 1981:</w:t>
      </w:r>
    </w:p>
    <w:p>
      <w:pPr>
        <w:pStyle w:val="ListParagraph"/>
        <w:numPr>
          <w:ilvl w:val="0"/>
          <w:numId w:val="2"/>
        </w:numPr>
        <w:spacing w:after="60" w:before="60"/>
      </w:pPr>
      <w:r>
        <w:rPr>
          <w:sz w:val="22"/>
          <w:szCs w:val="22"/>
        </w:rPr>
        <w:t xml:space="preserve">Improve the quality of air and prevent, control or abate air pollution in the country</w:t>
      </w:r>
    </w:p>
    <w:p>
      <w:pPr>
        <w:pStyle w:val="ListParagraph"/>
        <w:numPr>
          <w:ilvl w:val="0"/>
          <w:numId w:val="2"/>
        </w:numPr>
        <w:spacing w:after="60" w:before="60"/>
      </w:pPr>
      <w:r>
        <w:rPr>
          <w:sz w:val="22"/>
          <w:szCs w:val="22"/>
        </w:rPr>
        <w:t xml:space="preserve">Advise the Central Government on matters related to air pollution and quality standards</w:t>
      </w:r>
    </w:p>
    <w:p>
      <w:pPr>
        <w:pStyle w:val="ListParagraph"/>
        <w:numPr>
          <w:ilvl w:val="0"/>
          <w:numId w:val="2"/>
        </w:numPr>
        <w:spacing w:after="60" w:before="60"/>
      </w:pPr>
      <w:r>
        <w:rPr>
          <w:sz w:val="22"/>
          <w:szCs w:val="22"/>
        </w:rPr>
        <w:t xml:space="preserve">Collect and disseminate information on air pollution</w:t>
      </w:r>
    </w:p>
    <w:p>
      <w:pPr>
        <w:pStyle w:val="ListParagraph"/>
        <w:numPr>
          <w:ilvl w:val="0"/>
          <w:numId w:val="2"/>
        </w:numPr>
        <w:spacing w:after="60" w:before="60"/>
      </w:pPr>
      <w:r>
        <w:rPr>
          <w:sz w:val="22"/>
          <w:szCs w:val="22"/>
        </w:rPr>
        <w:t xml:space="preserve">Lay down standards for quality of air</w:t>
      </w:r>
    </w:p>
    <w:p>
      <w:pPr>
        <w:pStyle w:val="ListParagraph"/>
        <w:numPr>
          <w:ilvl w:val="0"/>
          <w:numId w:val="2"/>
        </w:numPr>
        <w:spacing w:after="60" w:before="60"/>
      </w:pPr>
      <w:r>
        <w:rPr>
          <w:sz w:val="22"/>
          <w:szCs w:val="22"/>
        </w:rPr>
        <w:t xml:space="preserve">Establish or recognize laboratories for analysis of air samples</w:t>
      </w:r>
    </w:p>
    <w:p>
      <w:pPr>
        <w:spacing w:after="60" w:before="60"/>
      </w:pPr>
      <w:r>
        <w:t xml:space="preserve"/>
      </w:r>
    </w:p>
    <w:p>
      <w:pPr>
        <w:pStyle w:val="Heading2"/>
      </w:pPr>
      <w:r>
        <w:rPr>
          <w:b/>
          <w:bCs/>
          <w:color w:val="2E75B6"/>
          <w:sz w:val="26"/>
          <w:szCs w:val="26"/>
        </w:rPr>
        <w:t xml:space="preserve">3.2 Powers of CPCB</w:t>
      </w:r>
    </w:p>
    <w:p>
      <w:pPr>
        <w:pStyle w:val="ListParagraph"/>
        <w:numPr>
          <w:ilvl w:val="0"/>
          <w:numId w:val="2"/>
        </w:numPr>
        <w:spacing w:after="60" w:before="60"/>
      </w:pPr>
      <w:r>
        <w:rPr>
          <w:sz w:val="22"/>
          <w:szCs w:val="22"/>
        </w:rPr>
        <w:t xml:space="preserve">Power to take samples of air, water, or effluents from any industries or sites</w:t>
      </w:r>
    </w:p>
    <w:p>
      <w:pPr>
        <w:pStyle w:val="ListParagraph"/>
        <w:numPr>
          <w:ilvl w:val="0"/>
          <w:numId w:val="2"/>
        </w:numPr>
        <w:spacing w:after="60" w:before="60"/>
      </w:pPr>
      <w:r>
        <w:rPr>
          <w:sz w:val="22"/>
          <w:szCs w:val="22"/>
        </w:rPr>
        <w:t xml:space="preserve">Power to enter and inspect any industry, plant, record, register or document</w:t>
      </w:r>
    </w:p>
    <w:p>
      <w:pPr>
        <w:pStyle w:val="ListParagraph"/>
        <w:numPr>
          <w:ilvl w:val="0"/>
          <w:numId w:val="2"/>
        </w:numPr>
        <w:spacing w:after="60" w:before="60"/>
      </w:pPr>
      <w:r>
        <w:rPr>
          <w:sz w:val="22"/>
          <w:szCs w:val="22"/>
        </w:rPr>
        <w:t xml:space="preserve">Power to issue directions to close, prohibit or regulate any industry</w:t>
      </w:r>
    </w:p>
    <w:p>
      <w:pPr>
        <w:pStyle w:val="ListParagraph"/>
        <w:numPr>
          <w:ilvl w:val="0"/>
          <w:numId w:val="2"/>
        </w:numPr>
        <w:spacing w:after="60" w:before="60"/>
      </w:pPr>
      <w:r>
        <w:rPr>
          <w:sz w:val="22"/>
          <w:szCs w:val="22"/>
        </w:rPr>
        <w:t xml:space="preserve">Power to restrict the use of any industrial plant in a polluted area</w:t>
      </w:r>
    </w:p>
    <w:p>
      <w:pPr>
        <w:pStyle w:val="ListParagraph"/>
        <w:numPr>
          <w:ilvl w:val="0"/>
          <w:numId w:val="2"/>
        </w:numPr>
        <w:spacing w:after="60" w:before="60"/>
      </w:pPr>
      <w:r>
        <w:rPr>
          <w:sz w:val="22"/>
          <w:szCs w:val="22"/>
        </w:rPr>
        <w:t xml:space="preserve">Power to conduct studies, investigations, and research on pollution</w:t>
      </w:r>
    </w:p>
    <w:p>
      <w:pPr>
        <w:pStyle w:val="ListParagraph"/>
        <w:numPr>
          <w:ilvl w:val="0"/>
          <w:numId w:val="2"/>
        </w:numPr>
        <w:spacing w:after="60" w:before="60"/>
      </w:pPr>
      <w:r>
        <w:rPr>
          <w:sz w:val="22"/>
          <w:szCs w:val="22"/>
        </w:rPr>
        <w:t xml:space="preserve">Power to establish standards for emissions and effluents</w:t>
      </w:r>
    </w:p>
    <w:p>
      <w:pPr>
        <w:pStyle w:val="ListParagraph"/>
        <w:numPr>
          <w:ilvl w:val="0"/>
          <w:numId w:val="2"/>
        </w:numPr>
        <w:spacing w:after="60" w:before="60"/>
      </w:pPr>
      <w:r>
        <w:rPr>
          <w:sz w:val="22"/>
          <w:szCs w:val="22"/>
        </w:rPr>
        <w:t xml:space="preserve">Power to prosecute defaulting industries and enforce penalties</w:t>
      </w:r>
    </w:p>
    <w:p>
      <w:pPr>
        <w:pStyle w:val="ListParagraph"/>
        <w:numPr>
          <w:ilvl w:val="0"/>
          <w:numId w:val="2"/>
        </w:numPr>
        <w:spacing w:after="60" w:before="60"/>
      </w:pPr>
      <w:r>
        <w:rPr>
          <w:sz w:val="22"/>
          <w:szCs w:val="22"/>
        </w:rPr>
        <w:t xml:space="preserve">Power to approve/reject environmental clearance for industries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5C8B" w:sz="1"/>
              <w:left w:val="single" w:color="1F5C8B" w:sz="1"/>
              <w:bottom w:val="single" w:color="1F5C8B" w:sz="1"/>
              <w:right w:val="single" w:color="1F5C8B" w:sz="1"/>
            </w:tcBorders>
            <w:shd w:fill="1F5C8B" w:val="clear"/>
            <w:tcMar>
              <w:top w:type="dxa" w:w="100"/>
              <w:left w:type="dxa" w:w="150"/>
              <w:bottom w:type="dxa" w:w="100"/>
              <w:right w:type="dxa" w:w="150"/>
            </w:tcMar>
          </w:tcPr>
          <w:p>
            <w:r>
              <w:rPr>
                <w:b/>
                <w:bCs/>
                <w:color w:val="FFFFFF"/>
                <w:sz w:val="22"/>
                <w:szCs w:val="22"/>
              </w:rPr>
              <w:t xml:space="preserve">Area</w:t>
            </w:r>
          </w:p>
        </w:tc>
        <w:tc>
          <w:tcPr>
            <w:tcW w:type="dxa" w:w="6360"/>
            <w:tcBorders>
              <w:top w:val="single" w:color="1F5C8B" w:sz="1"/>
              <w:left w:val="single" w:color="1F5C8B" w:sz="1"/>
              <w:bottom w:val="single" w:color="1F5C8B" w:sz="1"/>
              <w:right w:val="single" w:color="1F5C8B" w:sz="1"/>
            </w:tcBorders>
            <w:shd w:fill="1F5C8B" w:val="clear"/>
            <w:tcMar>
              <w:top w:type="dxa" w:w="100"/>
              <w:left w:type="dxa" w:w="150"/>
              <w:bottom w:type="dxa" w:w="100"/>
              <w:right w:type="dxa" w:w="150"/>
            </w:tcMar>
          </w:tcPr>
          <w:p>
            <w:r>
              <w:rPr>
                <w:b/>
                <w:bCs/>
                <w:color w:val="FFFFFF"/>
                <w:sz w:val="22"/>
                <w:szCs w:val="22"/>
              </w:rPr>
              <w:t xml:space="preserve">Key Responsibility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Water Pollution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Standards for effluents, river water quality monitoring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Air Pollution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Ambient air quality standards, emission standards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Solid Waste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Biomedical, hazardous, e-waste management rules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Noise Pollution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Noise standards for industrial, commercial areas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Data &amp; Research</w:t>
            </w:r>
          </w:p>
        </w:tc>
        <w:tc>
          <w:tcPr>
            <w:tcW w:type="dxa" w:w="6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National Ambient Air Quality Monitoring (NAAQS), GEMS</w:t>
            </w:r>
          </w:p>
        </w:tc>
      </w:tr>
    </w:tbl>
    <w:p>
      <w:pPr>
        <w:spacing w:after="60" w:before="60"/>
      </w:pPr>
      <w:r>
        <w:t xml:space="preserve"/>
      </w:r>
    </w:p>
    <w:p>
      <w:r>
        <w:br w:type="page"/>
      </w:r>
    </w:p>
    <w:p>
      <w:pPr>
        <w:pStyle w:val="Heading1"/>
      </w:pPr>
      <w:r>
        <w:rPr>
          <w:b/>
          <w:bCs/>
          <w:color w:val="1F5C8B"/>
          <w:sz w:val="32"/>
          <w:szCs w:val="32"/>
        </w:rPr>
        <w:t xml:space="preserve">4. Total Quality Management (TQM)</w:t>
      </w:r>
    </w:p>
    <w:p>
      <w:pPr>
        <w:spacing w:after="120" w:before="120"/>
      </w:pPr>
      <w:r>
        <w:rPr>
          <w:sz w:val="22"/>
          <w:szCs w:val="22"/>
        </w:rPr>
        <w:t xml:space="preserve">Total Quality Management (TQM) is a comprehensive management approach that focuses on continuous improvement of all organizational processes to achieve long-term success through customer satisfaction. It involves all employees at all levels participating in improving processes, products, services, and the culture in which they work.</w:t>
      </w:r>
    </w:p>
    <w:p>
      <w:pPr>
        <w:spacing w:after="60" w:before="60"/>
      </w:pPr>
      <w:r>
        <w:t xml:space="preserve"/>
      </w:r>
    </w:p>
    <w:p>
      <w:pPr>
        <w:pStyle w:val="Heading2"/>
      </w:pPr>
      <w:r>
        <w:rPr>
          <w:b/>
          <w:bCs/>
          <w:color w:val="2E75B6"/>
          <w:sz w:val="26"/>
          <w:szCs w:val="26"/>
        </w:rPr>
        <w:t xml:space="preserve">4.1 Definition</w:t>
      </w:r>
    </w:p>
    <w:p>
      <w:pPr>
        <w:spacing w:after="120" w:before="120"/>
      </w:pPr>
      <w:r>
        <w:rPr>
          <w:sz w:val="22"/>
          <w:szCs w:val="22"/>
        </w:rPr>
        <w:t xml:space="preserve">TQM is defined as: 'A management philosophy that seeks to integrate all organizational functions (marketing, finance, design, engineering, production, customer service, etc.) to focus on meeting customer needs and organizational objectives.'</w:t>
      </w:r>
    </w:p>
    <w:p>
      <w:pPr>
        <w:spacing w:after="60" w:before="60"/>
      </w:pPr>
      <w:r>
        <w:t xml:space="preserve"/>
      </w:r>
    </w:p>
    <w:p>
      <w:pPr>
        <w:pStyle w:val="Heading2"/>
      </w:pPr>
      <w:r>
        <w:rPr>
          <w:b/>
          <w:bCs/>
          <w:color w:val="2E75B6"/>
          <w:sz w:val="26"/>
          <w:szCs w:val="26"/>
        </w:rPr>
        <w:t xml:space="preserve">4.2 Key Principles of TQM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5C8B" w:sz="1"/>
              <w:left w:val="single" w:color="1F5C8B" w:sz="1"/>
              <w:bottom w:val="single" w:color="1F5C8B" w:sz="1"/>
              <w:right w:val="single" w:color="1F5C8B" w:sz="1"/>
            </w:tcBorders>
            <w:shd w:fill="1F5C8B" w:val="clear"/>
            <w:tcMar>
              <w:top w:type="dxa" w:w="100"/>
              <w:left w:type="dxa" w:w="150"/>
              <w:bottom w:type="dxa" w:w="100"/>
              <w:right w:type="dxa" w:w="150"/>
            </w:tcMar>
          </w:tcPr>
          <w:p>
            <w:r>
              <w:rPr>
                <w:b/>
                <w:bCs/>
                <w:color w:val="FFFFFF"/>
                <w:sz w:val="22"/>
                <w:szCs w:val="22"/>
              </w:rPr>
              <w:t xml:space="preserve">Principle</w:t>
            </w:r>
          </w:p>
        </w:tc>
        <w:tc>
          <w:tcPr>
            <w:tcW w:type="dxa" w:w="6360"/>
            <w:tcBorders>
              <w:top w:val="single" w:color="1F5C8B" w:sz="1"/>
              <w:left w:val="single" w:color="1F5C8B" w:sz="1"/>
              <w:bottom w:val="single" w:color="1F5C8B" w:sz="1"/>
              <w:right w:val="single" w:color="1F5C8B" w:sz="1"/>
            </w:tcBorders>
            <w:shd w:fill="1F5C8B" w:val="clear"/>
            <w:tcMar>
              <w:top w:type="dxa" w:w="100"/>
              <w:left w:type="dxa" w:w="150"/>
              <w:bottom w:type="dxa" w:w="100"/>
              <w:right w:type="dxa" w:w="150"/>
            </w:tcMar>
          </w:tcPr>
          <w:p>
            <w:r>
              <w:rPr>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Customer Focus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Understand and fulfill customer needs and expectations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Total Employee Involvement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All employees participate in working toward common goals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Process-Centred Approach</w:t>
            </w:r>
          </w:p>
        </w:tc>
        <w:tc>
          <w:tcPr>
            <w:tcW w:type="dxa" w:w="6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Focus on process thinking; every process must be defined and monitored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Integrated System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All departments work together using shared vision and goals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Strategic &amp; Systematic Approach</w:t>
            </w:r>
          </w:p>
        </w:tc>
        <w:tc>
          <w:tcPr>
            <w:tcW w:type="dxa" w:w="6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Strategic plan integrates quality as a core component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Continual Improvement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Never-ending process of improving processes, products, and services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Fact-Based Decision Making</w:t>
            </w:r>
          </w:p>
        </w:tc>
        <w:tc>
          <w:tcPr>
            <w:tcW w:type="dxa" w:w="6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Data and analysis used to make management decisions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Communication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Clear, effective communication at all levels of the organization</w:t>
            </w:r>
          </w:p>
        </w:tc>
      </w:tr>
    </w:tbl>
    <w:p>
      <w:pPr>
        <w:spacing w:after="60" w:before="60"/>
      </w:pPr>
      <w:r>
        <w:t xml:space="preserve"/>
      </w:r>
    </w:p>
    <w:p>
      <w:pPr>
        <w:pStyle w:val="Heading2"/>
      </w:pPr>
      <w:r>
        <w:rPr>
          <w:b/>
          <w:bCs/>
          <w:color w:val="2E75B6"/>
          <w:sz w:val="26"/>
          <w:szCs w:val="26"/>
        </w:rPr>
        <w:t xml:space="preserve">4.3 Benefits of TQM</w:t>
      </w:r>
    </w:p>
    <w:p>
      <w:pPr>
        <w:pStyle w:val="ListParagraph"/>
        <w:numPr>
          <w:ilvl w:val="0"/>
          <w:numId w:val="2"/>
        </w:numPr>
        <w:spacing w:after="60" w:before="60"/>
      </w:pPr>
      <w:r>
        <w:rPr>
          <w:sz w:val="22"/>
          <w:szCs w:val="22"/>
        </w:rPr>
        <w:t xml:space="preserve">Improved product and service quality</w:t>
      </w:r>
    </w:p>
    <w:p>
      <w:pPr>
        <w:pStyle w:val="ListParagraph"/>
        <w:numPr>
          <w:ilvl w:val="0"/>
          <w:numId w:val="2"/>
        </w:numPr>
        <w:spacing w:after="60" w:before="60"/>
      </w:pPr>
      <w:r>
        <w:rPr>
          <w:sz w:val="22"/>
          <w:szCs w:val="22"/>
        </w:rPr>
        <w:t xml:space="preserve">Increased customer satisfaction and loyalty</w:t>
      </w:r>
    </w:p>
    <w:p>
      <w:pPr>
        <w:pStyle w:val="ListParagraph"/>
        <w:numPr>
          <w:ilvl w:val="0"/>
          <w:numId w:val="2"/>
        </w:numPr>
        <w:spacing w:after="60" w:before="60"/>
      </w:pPr>
      <w:r>
        <w:rPr>
          <w:sz w:val="22"/>
          <w:szCs w:val="22"/>
        </w:rPr>
        <w:t xml:space="preserve">Reduced waste and operational costs</w:t>
      </w:r>
    </w:p>
    <w:p>
      <w:pPr>
        <w:pStyle w:val="ListParagraph"/>
        <w:numPr>
          <w:ilvl w:val="0"/>
          <w:numId w:val="2"/>
        </w:numPr>
        <w:spacing w:after="60" w:before="60"/>
      </w:pPr>
      <w:r>
        <w:rPr>
          <w:sz w:val="22"/>
          <w:szCs w:val="22"/>
        </w:rPr>
        <w:t xml:space="preserve">Higher employee morale and engagement</w:t>
      </w:r>
    </w:p>
    <w:p>
      <w:pPr>
        <w:pStyle w:val="ListParagraph"/>
        <w:numPr>
          <w:ilvl w:val="0"/>
          <w:numId w:val="2"/>
        </w:numPr>
        <w:spacing w:after="60" w:before="60"/>
      </w:pPr>
      <w:r>
        <w:rPr>
          <w:sz w:val="22"/>
          <w:szCs w:val="22"/>
        </w:rPr>
        <w:t xml:space="preserve">Competitive advantage in the market</w:t>
      </w:r>
    </w:p>
    <w:p>
      <w:pPr>
        <w:pStyle w:val="ListParagraph"/>
        <w:numPr>
          <w:ilvl w:val="0"/>
          <w:numId w:val="2"/>
        </w:numPr>
        <w:spacing w:after="60" w:before="60"/>
      </w:pPr>
      <w:r>
        <w:rPr>
          <w:sz w:val="22"/>
          <w:szCs w:val="22"/>
        </w:rPr>
        <w:t xml:space="preserve">Better compliance with regulations</w:t>
      </w:r>
    </w:p>
    <w:p>
      <w:pPr>
        <w:spacing w:after="60" w:before="60"/>
      </w:pPr>
      <w:r>
        <w:t xml:space="preserve"/>
      </w:r>
    </w:p>
    <w:p>
      <w:r>
        <w:br w:type="page"/>
      </w:r>
    </w:p>
    <w:p>
      <w:pPr>
        <w:pStyle w:val="Heading1"/>
      </w:pPr>
      <w:r>
        <w:rPr>
          <w:b/>
          <w:bCs/>
          <w:color w:val="1F5C8B"/>
          <w:sz w:val="32"/>
          <w:szCs w:val="32"/>
        </w:rPr>
        <w:t xml:space="preserve">5. Ishikawa Diagram (Cause and Effect / Fishbone Diagram)</w:t>
      </w:r>
    </w:p>
    <w:p>
      <w:pPr>
        <w:spacing w:after="120" w:before="120"/>
      </w:pPr>
      <w:r>
        <w:rPr>
          <w:sz w:val="22"/>
          <w:szCs w:val="22"/>
        </w:rPr>
        <w:t xml:space="preserve">The Ishikawa Diagram, also called the Cause-and-Effect Diagram or Fishbone Diagram, was developed by Prof. Kaoru Ishikawa in 1943. It is a visual tool used to systematically identify and display the possible causes of a specific problem or quality characteristic.</w:t>
      </w:r>
    </w:p>
    <w:p>
      <w:pPr>
        <w:spacing w:after="60" w:before="60"/>
      </w:pPr>
      <w:r>
        <w:t xml:space="preserve"/>
      </w:r>
    </w:p>
    <w:p>
      <w:pPr>
        <w:pStyle w:val="Heading2"/>
      </w:pPr>
      <w:r>
        <w:rPr>
          <w:b/>
          <w:bCs/>
          <w:color w:val="2E75B6"/>
          <w:sz w:val="26"/>
          <w:szCs w:val="26"/>
        </w:rPr>
        <w:t xml:space="preserve">5.1 Structure</w:t>
      </w:r>
    </w:p>
    <w:p>
      <w:pPr>
        <w:spacing w:after="120" w:before="120"/>
      </w:pPr>
      <w:r>
        <w:rPr>
          <w:sz w:val="22"/>
          <w:szCs w:val="22"/>
        </w:rPr>
        <w:t xml:space="preserve">The diagram resembles a fish skeleton:</w:t>
      </w:r>
    </w:p>
    <w:p>
      <w:pPr>
        <w:pStyle w:val="ListParagraph"/>
        <w:numPr>
          <w:ilvl w:val="0"/>
          <w:numId w:val="2"/>
        </w:numPr>
        <w:spacing w:after="60" w:before="60"/>
      </w:pPr>
      <w:r>
        <w:rPr>
          <w:sz w:val="22"/>
          <w:szCs w:val="22"/>
        </w:rPr>
        <w:t xml:space="preserve">The head of the fish = the Effect (Problem/Quality Issue)</w:t>
      </w:r>
    </w:p>
    <w:p>
      <w:pPr>
        <w:pStyle w:val="ListParagraph"/>
        <w:numPr>
          <w:ilvl w:val="0"/>
          <w:numId w:val="2"/>
        </w:numPr>
        <w:spacing w:after="60" w:before="60"/>
      </w:pPr>
      <w:r>
        <w:rPr>
          <w:sz w:val="22"/>
          <w:szCs w:val="22"/>
        </w:rPr>
        <w:t xml:space="preserve">The spine = the main horizontal arrow pointing to the effect</w:t>
      </w:r>
    </w:p>
    <w:p>
      <w:pPr>
        <w:pStyle w:val="ListParagraph"/>
        <w:numPr>
          <w:ilvl w:val="0"/>
          <w:numId w:val="2"/>
        </w:numPr>
        <w:spacing w:after="60" w:before="60"/>
      </w:pPr>
      <w:r>
        <w:rPr>
          <w:sz w:val="22"/>
          <w:szCs w:val="22"/>
        </w:rPr>
        <w:t xml:space="preserve">The large bones = main cause categories (the 6 M's)</w:t>
      </w:r>
    </w:p>
    <w:p>
      <w:pPr>
        <w:pStyle w:val="ListParagraph"/>
        <w:numPr>
          <w:ilvl w:val="0"/>
          <w:numId w:val="2"/>
        </w:numPr>
        <w:spacing w:after="60" w:before="60"/>
      </w:pPr>
      <w:r>
        <w:rPr>
          <w:sz w:val="22"/>
          <w:szCs w:val="22"/>
        </w:rPr>
        <w:t xml:space="preserve">The small bones = sub-causes under each main category</w:t>
      </w:r>
    </w:p>
    <w:p>
      <w:pPr>
        <w:spacing w:after="60" w:before="60"/>
      </w:pPr>
      <w:r>
        <w:t xml:space="preserve"/>
      </w:r>
    </w:p>
    <w:p>
      <w:pPr>
        <w:pStyle w:val="Heading2"/>
      </w:pPr>
      <w:r>
        <w:rPr>
          <w:b/>
          <w:bCs/>
          <w:color w:val="2E75B6"/>
          <w:sz w:val="26"/>
          <w:szCs w:val="26"/>
        </w:rPr>
        <w:t xml:space="preserve">5.2 The 6 M's – Cause Categories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960"/>
        <w:gridCol w:w="2200"/>
      </w:tblGrid>
      <w:tr>
        <w:tc>
          <w:tcPr>
            <w:tcW w:type="dxa" w:w="2200"/>
            <w:tcBorders>
              <w:top w:val="single" w:color="1F5C8B" w:sz="1"/>
              <w:left w:val="single" w:color="1F5C8B" w:sz="1"/>
              <w:bottom w:val="single" w:color="1F5C8B" w:sz="1"/>
              <w:right w:val="single" w:color="1F5C8B" w:sz="1"/>
            </w:tcBorders>
            <w:shd w:fill="1F5C8B" w:val="clear"/>
            <w:tcMar>
              <w:top w:type="dxa" w:w="100"/>
              <w:left w:type="dxa" w:w="120"/>
              <w:bottom w:type="dxa" w:w="100"/>
              <w:right w:type="dxa" w:w="120"/>
            </w:tcMar>
          </w:tcPr>
          <w:p>
            <w:pPr>
              <w:jc w:val="center"/>
            </w:pPr>
            <w:r>
              <w:rPr>
                <w:b/>
                <w:bCs/>
                <w:color w:val="FFFFFF"/>
                <w:sz w:val="20"/>
                <w:szCs w:val="20"/>
              </w:rPr>
              <w:t xml:space="preserve">CAUSE CATEGORIES (6 M's)</w:t>
            </w:r>
          </w:p>
        </w:tc>
        <w:tc>
          <w:tcPr>
            <w:tcW w:type="dxa" w:w="4960"/>
            <w:tcBorders>
              <w:top w:val="single" w:color="1F5C8B" w:sz="1"/>
              <w:left w:val="single" w:color="1F5C8B" w:sz="1"/>
              <w:bottom w:val="single" w:color="1F5C8B" w:sz="1"/>
              <w:right w:val="single" w:color="1F5C8B" w:sz="1"/>
            </w:tcBorders>
            <w:shd w:fill="1F5C8B" w:val="clear"/>
            <w:tcMar>
              <w:top w:type="dxa" w:w="100"/>
              <w:left w:type="dxa" w:w="120"/>
              <w:bottom w:type="dxa" w:w="100"/>
              <w:right w:type="dxa" w:w="120"/>
            </w:tcMar>
          </w:tcPr>
          <w:p>
            <w:pPr>
              <w:jc w:val="center"/>
            </w:pPr>
            <w:r>
              <w:rPr>
                <w:b/>
                <w:bCs/>
                <w:color w:val="FFFFFF"/>
                <w:sz w:val="20"/>
                <w:szCs w:val="20"/>
              </w:rPr>
              <w:t xml:space="preserve">EXAMPLES / SUB-CAUSES</w:t>
            </w:r>
          </w:p>
        </w:tc>
        <w:tc>
          <w:tcPr>
            <w:tcW w:type="dxa" w:w="2200"/>
            <w:tcBorders>
              <w:top w:val="single" w:color="1F5C8B" w:sz="1"/>
              <w:left w:val="single" w:color="1F5C8B" w:sz="1"/>
              <w:bottom w:val="single" w:color="1F5C8B" w:sz="1"/>
              <w:right w:val="single" w:color="1F5C8B" w:sz="1"/>
            </w:tcBorders>
            <w:shd w:fill="1F5C8B" w:val="clear"/>
            <w:tcMar>
              <w:top w:type="dxa" w:w="100"/>
              <w:left w:type="dxa" w:w="120"/>
              <w:bottom w:type="dxa" w:w="100"/>
              <w:right w:type="dxa" w:w="120"/>
            </w:tcMar>
          </w:tcPr>
          <w:p>
            <w:pPr>
              <w:jc w:val="center"/>
            </w:pPr>
            <w:r>
              <w:rPr>
                <w:b/>
                <w:bCs/>
                <w:color w:val="FFFFFF"/>
                <w:sz w:val="20"/>
                <w:szCs w:val="20"/>
              </w:rPr>
              <w:t xml:space="preserve">→ EFFECT (Problem)</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1F5C8B"/>
                <w:sz w:val="22"/>
                <w:szCs w:val="22"/>
              </w:rPr>
              <w:t xml:space="preserve">Man</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Skill, Training, Attitude, Fatigue</w:t>
            </w:r>
          </w:p>
        </w:tc>
        <w:tc>
          <w:tcPr>
            <w:tcW w:type="dxa" w:w="2200"/>
            <w:vMerge w:val="restart"/>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b/>
                <w:bCs/>
                <w:color w:val="C00000"/>
                <w:sz w:val="22"/>
                <w:szCs w:val="22"/>
              </w:rPr>
              <w:t xml:space="preserve">DEFECT / QUALITY PROBLEM (Effect)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5C8B"/>
                <w:sz w:val="22"/>
                <w:szCs w:val="22"/>
              </w:rPr>
              <w:t xml:space="preserve">Machine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Equipment, Tools, Technology, Maintenance</w:t>
            </w:r>
          </w:p>
        </w:tc>
        <w:tc>
          <w:tcPr>
            <w:vMerge w:val="continue"/>
            <w:tcBorders>
              <w:top w:val="single" w:color="CCCCCC" w:sz="1"/>
              <w:left w:val="single" w:color="CCCCCC" w:sz="1"/>
              <w:bottom w:val="single" w:color="CCCCCC" w:sz="1"/>
              <w:right w:val="single" w:color="CCCCCC" w:sz="1"/>
            </w:tcBorders>
          </w:tcPr>
          <w:p/>
        </w:tc>
        <w:tc>
          <w:tcPr>
            <w:tcW w:type="dxa" w:w="2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r>
              <w:t xml:space="preserve"/>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1F5C8B"/>
                <w:sz w:val="22"/>
                <w:szCs w:val="22"/>
              </w:rPr>
              <w:t xml:space="preserve">Method</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Process, Procedure, Work Instructions, Sequence</w:t>
            </w:r>
          </w:p>
        </w:tc>
        <w:tc>
          <w:tcPr>
            <w:vMerge w:val="continue"/>
            <w:tcBorders>
              <w:top w:val="single" w:color="CCCCCC" w:sz="1"/>
              <w:left w:val="single" w:color="CCCCCC" w:sz="1"/>
              <w:bottom w:val="single" w:color="CCCCCC" w:sz="1"/>
              <w:right w:val="single" w:color="CCCCCC" w:sz="1"/>
            </w:tcBorders>
          </w:tcPr>
          <w:p/>
        </w:tc>
        <w:tc>
          <w:tcPr>
            <w:tcW w:type="dxa" w:w="2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5C8B"/>
                <w:sz w:val="22"/>
                <w:szCs w:val="22"/>
              </w:rPr>
              <w:t xml:space="preserve">Material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Raw Material, Quality, Specifications, Supplier</w:t>
            </w:r>
          </w:p>
        </w:tc>
        <w:tc>
          <w:tcPr>
            <w:vMerge w:val="continue"/>
            <w:tcBorders>
              <w:top w:val="single" w:color="CCCCCC" w:sz="1"/>
              <w:left w:val="single" w:color="CCCCCC" w:sz="1"/>
              <w:bottom w:val="single" w:color="CCCCCC" w:sz="1"/>
              <w:right w:val="single" w:color="CCCCCC" w:sz="1"/>
            </w:tcBorders>
          </w:tcPr>
          <w:p/>
        </w:tc>
        <w:tc>
          <w:tcPr>
            <w:tcW w:type="dxa" w:w="2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r>
              <w:t xml:space="preserve"/>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1F5C8B"/>
                <w:sz w:val="22"/>
                <w:szCs w:val="22"/>
              </w:rPr>
              <w:t xml:space="preserve">Measurement</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Calibration, Accuracy, Precision, Instruments</w:t>
            </w:r>
          </w:p>
        </w:tc>
        <w:tc>
          <w:tcPr>
            <w:vMerge w:val="continue"/>
            <w:tcBorders>
              <w:top w:val="single" w:color="CCCCCC" w:sz="1"/>
              <w:left w:val="single" w:color="CCCCCC" w:sz="1"/>
              <w:bottom w:val="single" w:color="CCCCCC" w:sz="1"/>
              <w:right w:val="single" w:color="CCCCCC" w:sz="1"/>
            </w:tcBorders>
          </w:tcPr>
          <w:p/>
        </w:tc>
        <w:tc>
          <w:tcPr>
            <w:tcW w:type="dxa" w:w="2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5C8B"/>
                <w:sz w:val="22"/>
                <w:szCs w:val="22"/>
              </w:rPr>
              <w:t xml:space="preserve">Mother Nature (Environment)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Temperature, Humidity, Noise, Lighting</w:t>
            </w:r>
          </w:p>
        </w:tc>
        <w:tc>
          <w:tcPr>
            <w:vMerge w:val="continue"/>
            <w:tcBorders>
              <w:top w:val="single" w:color="CCCCCC" w:sz="1"/>
              <w:left w:val="single" w:color="CCCCCC" w:sz="1"/>
              <w:bottom w:val="single" w:color="CCCCCC" w:sz="1"/>
              <w:right w:val="single" w:color="CCCCCC" w:sz="1"/>
            </w:tcBorders>
          </w:tcPr>
          <w:p/>
        </w:tc>
        <w:tc>
          <w:tcPr>
            <w:tcW w:type="dxa" w:w="22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r>
              <w:t xml:space="preserve"/>
            </w:r>
          </w:p>
        </w:tc>
      </w:tr>
    </w:tbl>
    <w:p>
      <w:pPr>
        <w:spacing w:after="60" w:before="60"/>
      </w:pPr>
      <w:r>
        <w:t xml:space="preserve"/>
      </w:r>
    </w:p>
    <w:p>
      <w:pPr>
        <w:pStyle w:val="Heading2"/>
      </w:pPr>
      <w:r>
        <w:rPr>
          <w:b/>
          <w:bCs/>
          <w:color w:val="2E75B6"/>
          <w:sz w:val="26"/>
          <w:szCs w:val="26"/>
        </w:rPr>
        <w:t xml:space="preserve">5.3 How to Use It</w:t>
      </w:r>
    </w:p>
    <w:p>
      <w:pPr>
        <w:pStyle w:val="ListParagraph"/>
        <w:numPr>
          <w:ilvl w:val="0"/>
          <w:numId w:val="3"/>
        </w:numPr>
        <w:spacing w:after="60" w:before="60"/>
      </w:pPr>
      <w:r>
        <w:rPr>
          <w:sz w:val="22"/>
          <w:szCs w:val="22"/>
        </w:rPr>
        <w:t xml:space="preserve">Define the problem (Effect) clearly and write it in the fish head box</w:t>
      </w:r>
    </w:p>
    <w:p>
      <w:pPr>
        <w:pStyle w:val="ListParagraph"/>
        <w:numPr>
          <w:ilvl w:val="0"/>
          <w:numId w:val="3"/>
        </w:numPr>
        <w:spacing w:after="60" w:before="60"/>
      </w:pPr>
      <w:r>
        <w:rPr>
          <w:sz w:val="22"/>
          <w:szCs w:val="22"/>
        </w:rPr>
        <w:t xml:space="preserve">Draw the main horizontal spine arrow pointing to the effect</w:t>
      </w:r>
    </w:p>
    <w:p>
      <w:pPr>
        <w:pStyle w:val="ListParagraph"/>
        <w:numPr>
          <w:ilvl w:val="0"/>
          <w:numId w:val="3"/>
        </w:numPr>
        <w:spacing w:after="60" w:before="60"/>
      </w:pPr>
      <w:r>
        <w:rPr>
          <w:sz w:val="22"/>
          <w:szCs w:val="22"/>
        </w:rPr>
        <w:t xml:space="preserve">Identify the major cause categories (6 M's) as branches</w:t>
      </w:r>
    </w:p>
    <w:p>
      <w:pPr>
        <w:pStyle w:val="ListParagraph"/>
        <w:numPr>
          <w:ilvl w:val="0"/>
          <w:numId w:val="3"/>
        </w:numPr>
        <w:spacing w:after="60" w:before="60"/>
      </w:pPr>
      <w:r>
        <w:rPr>
          <w:sz w:val="22"/>
          <w:szCs w:val="22"/>
        </w:rPr>
        <w:t xml:space="preserve">Brainstorm causes for each category</w:t>
      </w:r>
    </w:p>
    <w:p>
      <w:pPr>
        <w:pStyle w:val="ListParagraph"/>
        <w:numPr>
          <w:ilvl w:val="0"/>
          <w:numId w:val="3"/>
        </w:numPr>
        <w:spacing w:after="60" w:before="60"/>
      </w:pPr>
      <w:r>
        <w:rPr>
          <w:sz w:val="22"/>
          <w:szCs w:val="22"/>
        </w:rPr>
        <w:t xml:space="preserve">Add sub-causes as smaller branches</w:t>
      </w:r>
    </w:p>
    <w:p>
      <w:pPr>
        <w:pStyle w:val="ListParagraph"/>
        <w:numPr>
          <w:ilvl w:val="0"/>
          <w:numId w:val="3"/>
        </w:numPr>
        <w:spacing w:after="60" w:before="60"/>
      </w:pPr>
      <w:r>
        <w:rPr>
          <w:sz w:val="22"/>
          <w:szCs w:val="22"/>
        </w:rPr>
        <w:t xml:space="preserve">Analyse the diagram to find the most likely root causes</w:t>
      </w:r>
    </w:p>
    <w:p>
      <w:pPr>
        <w:pStyle w:val="ListParagraph"/>
        <w:numPr>
          <w:ilvl w:val="0"/>
          <w:numId w:val="3"/>
        </w:numPr>
        <w:spacing w:after="60" w:before="60"/>
      </w:pPr>
      <w:r>
        <w:rPr>
          <w:sz w:val="22"/>
          <w:szCs w:val="22"/>
        </w:rPr>
        <w:t xml:space="preserve">Test and verify root causes with data</w:t>
      </w:r>
    </w:p>
    <w:p>
      <w:pPr>
        <w:spacing w:after="60" w:before="60"/>
      </w:pPr>
      <w:r>
        <w:t xml:space="preserve"/>
      </w:r>
    </w:p>
    <w:p>
      <w:pPr>
        <w:pStyle w:val="Heading2"/>
      </w:pPr>
      <w:r>
        <w:rPr>
          <w:b/>
          <w:bCs/>
          <w:color w:val="2E75B6"/>
          <w:sz w:val="26"/>
          <w:szCs w:val="26"/>
        </w:rPr>
        <w:t xml:space="preserve">5.4 Applications</w:t>
      </w:r>
    </w:p>
    <w:p>
      <w:pPr>
        <w:pStyle w:val="ListParagraph"/>
        <w:numPr>
          <w:ilvl w:val="0"/>
          <w:numId w:val="2"/>
        </w:numPr>
        <w:spacing w:after="60" w:before="60"/>
      </w:pPr>
      <w:r>
        <w:rPr>
          <w:sz w:val="22"/>
          <w:szCs w:val="22"/>
        </w:rPr>
        <w:t xml:space="preserve">Manufacturing: Defects in products, machine breakdown analysis</w:t>
      </w:r>
    </w:p>
    <w:p>
      <w:pPr>
        <w:pStyle w:val="ListParagraph"/>
        <w:numPr>
          <w:ilvl w:val="0"/>
          <w:numId w:val="2"/>
        </w:numPr>
        <w:spacing w:after="60" w:before="60"/>
      </w:pPr>
      <w:r>
        <w:rPr>
          <w:sz w:val="22"/>
          <w:szCs w:val="22"/>
        </w:rPr>
        <w:t xml:space="preserve">Healthcare: Medical errors, patient safety analysis</w:t>
      </w:r>
    </w:p>
    <w:p>
      <w:pPr>
        <w:pStyle w:val="ListParagraph"/>
        <w:numPr>
          <w:ilvl w:val="0"/>
          <w:numId w:val="2"/>
        </w:numPr>
        <w:spacing w:after="60" w:before="60"/>
      </w:pPr>
      <w:r>
        <w:rPr>
          <w:sz w:val="22"/>
          <w:szCs w:val="22"/>
        </w:rPr>
        <w:t xml:space="preserve">Service industry: Customer complaint analysis</w:t>
      </w:r>
    </w:p>
    <w:p>
      <w:pPr>
        <w:pStyle w:val="ListParagraph"/>
        <w:numPr>
          <w:ilvl w:val="0"/>
          <w:numId w:val="2"/>
        </w:numPr>
        <w:spacing w:after="60" w:before="60"/>
      </w:pPr>
      <w:r>
        <w:rPr>
          <w:sz w:val="22"/>
          <w:szCs w:val="22"/>
        </w:rPr>
        <w:t xml:space="preserve">Environment: Pollution source identification</w:t>
      </w:r>
    </w:p>
    <w:p>
      <w:pPr>
        <w:spacing w:after="60" w:before="60"/>
      </w:pPr>
      <w:r>
        <w:t xml:space="preserve"/>
      </w:r>
    </w:p>
    <w:p>
      <w:r>
        <w:br w:type="page"/>
      </w:r>
    </w:p>
    <w:p>
      <w:pPr>
        <w:pStyle w:val="Heading1"/>
      </w:pPr>
      <w:r>
        <w:rPr>
          <w:b/>
          <w:bCs/>
          <w:color w:val="1F5C8B"/>
          <w:sz w:val="32"/>
          <w:szCs w:val="32"/>
        </w:rPr>
        <w:t xml:space="preserve">6. ISO 14000 – Environmental Management Standards</w:t>
      </w:r>
    </w:p>
    <w:p>
      <w:pPr>
        <w:spacing w:after="120" w:before="120"/>
      </w:pPr>
      <w:r>
        <w:rPr>
          <w:sz w:val="22"/>
          <w:szCs w:val="22"/>
        </w:rPr>
        <w:t xml:space="preserve">ISO 14000 is a family of international standards developed by the International Organization for Standardization (ISO) that provides practical tools for organizations to manage their environmental responsibilities. It helps organizations minimize their negative environmental impact while complying with applicable laws and regulations.</w:t>
      </w:r>
    </w:p>
    <w:p>
      <w:pPr>
        <w:spacing w:after="60" w:before="60"/>
      </w:pPr>
      <w:r>
        <w:t xml:space="preserve"/>
      </w:r>
    </w:p>
    <w:p>
      <w:pPr>
        <w:pStyle w:val="Heading2"/>
      </w:pPr>
      <w:r>
        <w:rPr>
          <w:b/>
          <w:bCs/>
          <w:color w:val="2E75B6"/>
          <w:sz w:val="26"/>
          <w:szCs w:val="26"/>
        </w:rPr>
        <w:t xml:space="preserve">6.1 Key Standards in ISO 14000 Family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rPr>
          <w:tblHeader/>
        </w:trPr>
        <w:tc>
          <w:tcPr>
            <w:tcW w:type="dxa" w:w="1400"/>
            <w:tcBorders>
              <w:top w:val="single" w:color="1F5C8B" w:sz="1"/>
              <w:left w:val="single" w:color="1F5C8B" w:sz="1"/>
              <w:bottom w:val="single" w:color="1F5C8B" w:sz="1"/>
              <w:right w:val="single" w:color="1F5C8B" w:sz="1"/>
            </w:tcBorders>
            <w:shd w:fill="1F5C8B" w:val="clear"/>
            <w:tcMar>
              <w:top w:type="dxa" w:w="100"/>
              <w:left w:type="dxa" w:w="150"/>
              <w:bottom w:type="dxa" w:w="100"/>
              <w:right w:type="dxa" w:w="150"/>
            </w:tcMar>
          </w:tcPr>
          <w:p>
            <w:r>
              <w:rPr>
                <w:b/>
                <w:bCs/>
                <w:color w:val="FFFFFF"/>
                <w:sz w:val="22"/>
                <w:szCs w:val="22"/>
              </w:rPr>
              <w:t xml:space="preserve">Standard</w:t>
            </w:r>
          </w:p>
        </w:tc>
        <w:tc>
          <w:tcPr>
            <w:tcW w:type="dxa" w:w="4000"/>
            <w:tcBorders>
              <w:top w:val="single" w:color="1F5C8B" w:sz="1"/>
              <w:left w:val="single" w:color="1F5C8B" w:sz="1"/>
              <w:bottom w:val="single" w:color="1F5C8B" w:sz="1"/>
              <w:right w:val="single" w:color="1F5C8B" w:sz="1"/>
            </w:tcBorders>
            <w:shd w:fill="1F5C8B" w:val="clear"/>
            <w:tcMar>
              <w:top w:type="dxa" w:w="100"/>
              <w:left w:type="dxa" w:w="150"/>
              <w:bottom w:type="dxa" w:w="100"/>
              <w:right w:type="dxa" w:w="150"/>
            </w:tcMar>
          </w:tcPr>
          <w:p>
            <w:r>
              <w:rPr>
                <w:b/>
                <w:bCs/>
                <w:color w:val="FFFFFF"/>
                <w:sz w:val="22"/>
                <w:szCs w:val="22"/>
              </w:rPr>
              <w:t xml:space="preserve">Title</w:t>
            </w:r>
          </w:p>
        </w:tc>
        <w:tc>
          <w:tcPr>
            <w:tcW w:type="dxa" w:w="3960"/>
            <w:tcBorders>
              <w:top w:val="single" w:color="1F5C8B" w:sz="1"/>
              <w:left w:val="single" w:color="1F5C8B" w:sz="1"/>
              <w:bottom w:val="single" w:color="1F5C8B" w:sz="1"/>
              <w:right w:val="single" w:color="1F5C8B" w:sz="1"/>
            </w:tcBorders>
            <w:shd w:fill="1F5C8B" w:val="clear"/>
            <w:tcMar>
              <w:top w:type="dxa" w:w="100"/>
              <w:left w:type="dxa" w:w="150"/>
              <w:bottom w:type="dxa" w:w="100"/>
              <w:right w:type="dxa" w:w="150"/>
            </w:tcMar>
          </w:tcPr>
          <w:p>
            <w:r>
              <w:rPr>
                <w:b/>
                <w:bCs/>
                <w:color w:val="FFFFFF"/>
                <w:sz w:val="22"/>
                <w:szCs w:val="22"/>
              </w:rPr>
              <w:t xml:space="preserve">Focus Area</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ISO 14001</w:t>
            </w:r>
          </w:p>
        </w:tc>
        <w:tc>
          <w:tcPr>
            <w:tcW w:type="dxa" w:w="4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Environmental Management System (EMS)</w:t>
            </w:r>
          </w:p>
        </w:tc>
        <w:tc>
          <w:tcPr>
            <w:tcW w:type="dxa" w:w="39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Core standard – requirements for EMS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ISO 14004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EMS – General Guidelines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Guidance on EMS principles and techniques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ISO 14006</w:t>
            </w:r>
          </w:p>
        </w:tc>
        <w:tc>
          <w:tcPr>
            <w:tcW w:type="dxa" w:w="4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Eco-design Guidelines</w:t>
            </w:r>
          </w:p>
        </w:tc>
        <w:tc>
          <w:tcPr>
            <w:tcW w:type="dxa" w:w="39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Environmental aspects in product design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ISO 14010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Environmental Auditing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Principles of environmental auditing</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ISO 14031</w:t>
            </w:r>
          </w:p>
        </w:tc>
        <w:tc>
          <w:tcPr>
            <w:tcW w:type="dxa" w:w="4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Environmental Performance Evaluation</w:t>
            </w:r>
          </w:p>
        </w:tc>
        <w:tc>
          <w:tcPr>
            <w:tcW w:type="dxa" w:w="39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Measuring environmental performance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ISO 14040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Life Cycle Assessment (LCA)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Environmental impact of product life cycle</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ISO 14064</w:t>
            </w:r>
          </w:p>
        </w:tc>
        <w:tc>
          <w:tcPr>
            <w:tcW w:type="dxa" w:w="4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Greenhouse Gas Accounting</w:t>
            </w:r>
          </w:p>
        </w:tc>
        <w:tc>
          <w:tcPr>
            <w:tcW w:type="dxa" w:w="39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GHG quantification and reporting</w:t>
            </w:r>
          </w:p>
        </w:tc>
      </w:tr>
    </w:tbl>
    <w:p>
      <w:pPr>
        <w:spacing w:after="60" w:before="60"/>
      </w:pPr>
      <w:r>
        <w:t xml:space="preserve"/>
      </w:r>
    </w:p>
    <w:p>
      <w:pPr>
        <w:pStyle w:val="Heading2"/>
      </w:pPr>
      <w:r>
        <w:rPr>
          <w:b/>
          <w:bCs/>
          <w:color w:val="2E75B6"/>
          <w:sz w:val="26"/>
          <w:szCs w:val="26"/>
        </w:rPr>
        <w:t xml:space="preserve">6.2 Objectives of ISO 14000</w:t>
      </w:r>
    </w:p>
    <w:p>
      <w:pPr>
        <w:pStyle w:val="ListParagraph"/>
        <w:numPr>
          <w:ilvl w:val="0"/>
          <w:numId w:val="2"/>
        </w:numPr>
        <w:spacing w:after="60" w:before="60"/>
      </w:pPr>
      <w:r>
        <w:rPr>
          <w:sz w:val="22"/>
          <w:szCs w:val="22"/>
        </w:rPr>
        <w:t xml:space="preserve">Minimize harmful effects on the environment caused by activities</w:t>
      </w:r>
    </w:p>
    <w:p>
      <w:pPr>
        <w:pStyle w:val="ListParagraph"/>
        <w:numPr>
          <w:ilvl w:val="0"/>
          <w:numId w:val="2"/>
        </w:numPr>
        <w:spacing w:after="60" w:before="60"/>
      </w:pPr>
      <w:r>
        <w:rPr>
          <w:sz w:val="22"/>
          <w:szCs w:val="22"/>
        </w:rPr>
        <w:t xml:space="preserve">Achieve continual improvement of environmental performance</w:t>
      </w:r>
    </w:p>
    <w:p>
      <w:pPr>
        <w:pStyle w:val="ListParagraph"/>
        <w:numPr>
          <w:ilvl w:val="0"/>
          <w:numId w:val="2"/>
        </w:numPr>
        <w:spacing w:after="60" w:before="60"/>
      </w:pPr>
      <w:r>
        <w:rPr>
          <w:sz w:val="22"/>
          <w:szCs w:val="22"/>
        </w:rPr>
        <w:t xml:space="preserve">Assist organizations comply with applicable environmental laws</w:t>
      </w:r>
    </w:p>
    <w:p>
      <w:pPr>
        <w:pStyle w:val="ListParagraph"/>
        <w:numPr>
          <w:ilvl w:val="0"/>
          <w:numId w:val="2"/>
        </w:numPr>
        <w:spacing w:after="60" w:before="60"/>
      </w:pPr>
      <w:r>
        <w:rPr>
          <w:sz w:val="22"/>
          <w:szCs w:val="22"/>
        </w:rPr>
        <w:t xml:space="preserve">Promote consistent worldwide environmental management</w:t>
      </w:r>
    </w:p>
    <w:p>
      <w:pPr>
        <w:pStyle w:val="ListParagraph"/>
        <w:numPr>
          <w:ilvl w:val="0"/>
          <w:numId w:val="2"/>
        </w:numPr>
        <w:spacing w:after="60" w:before="60"/>
      </w:pPr>
      <w:r>
        <w:rPr>
          <w:sz w:val="22"/>
          <w:szCs w:val="22"/>
        </w:rPr>
        <w:t xml:space="preserve">Reduce costs through efficient use of resources and energy</w:t>
      </w:r>
    </w:p>
    <w:p>
      <w:pPr>
        <w:spacing w:after="60" w:before="60"/>
      </w:pPr>
      <w:r>
        <w:t xml:space="preserve"/>
      </w:r>
    </w:p>
    <w:p>
      <w:pPr>
        <w:pStyle w:val="Heading2"/>
      </w:pPr>
      <w:r>
        <w:rPr>
          <w:b/>
          <w:bCs/>
          <w:color w:val="2E75B6"/>
          <w:sz w:val="26"/>
          <w:szCs w:val="26"/>
        </w:rPr>
        <w:t xml:space="preserve">6.3 Benefits of ISO 14000</w:t>
      </w:r>
    </w:p>
    <w:p>
      <w:pPr>
        <w:pStyle w:val="ListParagraph"/>
        <w:numPr>
          <w:ilvl w:val="0"/>
          <w:numId w:val="2"/>
        </w:numPr>
        <w:spacing w:after="60" w:before="60"/>
      </w:pPr>
      <w:r>
        <w:rPr>
          <w:sz w:val="22"/>
          <w:szCs w:val="22"/>
        </w:rPr>
        <w:t xml:space="preserve">International recognition and market access</w:t>
      </w:r>
    </w:p>
    <w:p>
      <w:pPr>
        <w:pStyle w:val="ListParagraph"/>
        <w:numPr>
          <w:ilvl w:val="0"/>
          <w:numId w:val="2"/>
        </w:numPr>
        <w:spacing w:after="60" w:before="60"/>
      </w:pPr>
      <w:r>
        <w:rPr>
          <w:sz w:val="22"/>
          <w:szCs w:val="22"/>
        </w:rPr>
        <w:t xml:space="preserve">Reduced risk of regulatory and environmental liability</w:t>
      </w:r>
    </w:p>
    <w:p>
      <w:pPr>
        <w:pStyle w:val="ListParagraph"/>
        <w:numPr>
          <w:ilvl w:val="0"/>
          <w:numId w:val="2"/>
        </w:numPr>
        <w:spacing w:after="60" w:before="60"/>
      </w:pPr>
      <w:r>
        <w:rPr>
          <w:sz w:val="22"/>
          <w:szCs w:val="22"/>
        </w:rPr>
        <w:t xml:space="preserve">Lower waste disposal costs</w:t>
      </w:r>
    </w:p>
    <w:p>
      <w:pPr>
        <w:pStyle w:val="ListParagraph"/>
        <w:numPr>
          <w:ilvl w:val="0"/>
          <w:numId w:val="2"/>
        </w:numPr>
        <w:spacing w:after="60" w:before="60"/>
      </w:pPr>
      <w:r>
        <w:rPr>
          <w:sz w:val="22"/>
          <w:szCs w:val="22"/>
        </w:rPr>
        <w:t xml:space="preserve">Improved community relations and public image</w:t>
      </w:r>
    </w:p>
    <w:p>
      <w:pPr>
        <w:pStyle w:val="ListParagraph"/>
        <w:numPr>
          <w:ilvl w:val="0"/>
          <w:numId w:val="2"/>
        </w:numPr>
        <w:spacing w:after="60" w:before="60"/>
      </w:pPr>
      <w:r>
        <w:rPr>
          <w:sz w:val="22"/>
          <w:szCs w:val="22"/>
        </w:rPr>
        <w:t xml:space="preserve">Increased efficiency and resource conservation</w:t>
      </w:r>
    </w:p>
    <w:p>
      <w:pPr>
        <w:spacing w:after="60" w:before="60"/>
      </w:pPr>
      <w:r>
        <w:t xml:space="preserve"/>
      </w:r>
    </w:p>
    <w:p>
      <w:r>
        <w:br w:type="page"/>
      </w:r>
    </w:p>
    <w:p>
      <w:pPr>
        <w:pStyle w:val="Heading1"/>
      </w:pPr>
      <w:r>
        <w:rPr>
          <w:b/>
          <w:bCs/>
          <w:color w:val="1F5C8B"/>
          <w:sz w:val="32"/>
          <w:szCs w:val="32"/>
        </w:rPr>
        <w:t xml:space="preserve">7. Stages of ISO 14001 Certification</w:t>
      </w:r>
    </w:p>
    <w:p>
      <w:pPr>
        <w:spacing w:after="120" w:before="120"/>
      </w:pPr>
      <w:r>
        <w:rPr>
          <w:sz w:val="22"/>
          <w:szCs w:val="22"/>
        </w:rPr>
        <w:t xml:space="preserve">ISO 14001:2015 is the internationally recognized standard for Environmental Management Systems (EMS). It follows the Plan-Do-Check-Act (PDCA) model. Achieving ISO 14001 certification involves several well-defined stages.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860"/>
      </w:tblGrid>
      <w:tr>
        <w:trPr>
          <w:tblHeader/>
        </w:trPr>
        <w:tc>
          <w:tcPr>
            <w:tcW w:type="dxa" w:w="700"/>
            <w:tcBorders>
              <w:top w:val="single" w:color="1F5C8B" w:sz="1"/>
              <w:left w:val="single" w:color="1F5C8B" w:sz="1"/>
              <w:bottom w:val="single" w:color="1F5C8B" w:sz="1"/>
              <w:right w:val="single" w:color="1F5C8B" w:sz="1"/>
            </w:tcBorders>
            <w:shd w:fill="1F5C8B" w:val="clear"/>
            <w:tcMar>
              <w:top w:type="dxa" w:w="100"/>
              <w:left w:type="dxa" w:w="150"/>
              <w:bottom w:type="dxa" w:w="100"/>
              <w:right w:type="dxa" w:w="150"/>
            </w:tcMar>
          </w:tcPr>
          <w:p>
            <w:r>
              <w:rPr>
                <w:b/>
                <w:bCs/>
                <w:color w:val="FFFFFF"/>
                <w:sz w:val="22"/>
                <w:szCs w:val="22"/>
              </w:rPr>
              <w:t xml:space="preserve">Stage</w:t>
            </w:r>
          </w:p>
        </w:tc>
        <w:tc>
          <w:tcPr>
            <w:tcW w:type="dxa" w:w="2800"/>
            <w:tcBorders>
              <w:top w:val="single" w:color="1F5C8B" w:sz="1"/>
              <w:left w:val="single" w:color="1F5C8B" w:sz="1"/>
              <w:bottom w:val="single" w:color="1F5C8B" w:sz="1"/>
              <w:right w:val="single" w:color="1F5C8B" w:sz="1"/>
            </w:tcBorders>
            <w:shd w:fill="1F5C8B" w:val="clear"/>
            <w:tcMar>
              <w:top w:type="dxa" w:w="100"/>
              <w:left w:type="dxa" w:w="150"/>
              <w:bottom w:type="dxa" w:w="100"/>
              <w:right w:type="dxa" w:w="150"/>
            </w:tcMar>
          </w:tcPr>
          <w:p>
            <w:r>
              <w:rPr>
                <w:b/>
                <w:bCs/>
                <w:color w:val="FFFFFF"/>
                <w:sz w:val="22"/>
                <w:szCs w:val="22"/>
              </w:rPr>
              <w:t xml:space="preserve">Name</w:t>
            </w:r>
          </w:p>
        </w:tc>
        <w:tc>
          <w:tcPr>
            <w:tcW w:type="dxa" w:w="5860"/>
            <w:tcBorders>
              <w:top w:val="single" w:color="1F5C8B" w:sz="1"/>
              <w:left w:val="single" w:color="1F5C8B" w:sz="1"/>
              <w:bottom w:val="single" w:color="1F5C8B" w:sz="1"/>
              <w:right w:val="single" w:color="1F5C8B" w:sz="1"/>
            </w:tcBorders>
            <w:shd w:fill="1F5C8B" w:val="clear"/>
            <w:tcMar>
              <w:top w:type="dxa" w:w="100"/>
              <w:left w:type="dxa" w:w="150"/>
              <w:bottom w:type="dxa" w:w="100"/>
              <w:right w:type="dxa" w:w="150"/>
            </w:tcMar>
          </w:tcPr>
          <w:p>
            <w:r>
              <w:rPr>
                <w:b/>
                <w:bCs/>
                <w:color w:val="FFFFFF"/>
                <w:sz w:val="22"/>
                <w:szCs w:val="22"/>
              </w:rPr>
              <w:t xml:space="preserve">Activities</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1</w:t>
            </w:r>
          </w:p>
        </w:tc>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Gap Analysis &amp; Initial Review</w:t>
            </w:r>
          </w:p>
        </w:tc>
        <w:tc>
          <w:tcPr>
            <w:tcW w:type="dxa" w:w="58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Assess current environmental practices vs. ISO 14001 requirements; identify gaps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Planning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Define environmental policy; identify environmental aspects and impacts; set objectives</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3</w:t>
            </w:r>
          </w:p>
        </w:tc>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EMS Development</w:t>
            </w:r>
          </w:p>
        </w:tc>
        <w:tc>
          <w:tcPr>
            <w:tcW w:type="dxa" w:w="58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Develop procedures, work instructions, and documentation for all EMS elements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Implementation &amp; Training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Implement the EMS across all departments; train employees at all levels</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5</w:t>
            </w:r>
          </w:p>
        </w:tc>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Internal Audit</w:t>
            </w:r>
          </w:p>
        </w:tc>
        <w:tc>
          <w:tcPr>
            <w:tcW w:type="dxa" w:w="58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Conduct internal audit to verify EMS conforms to ISO 14001 requirements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Management Review</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Top management reviews EMS performance and makes decisions for improvement</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7</w:t>
            </w:r>
          </w:p>
        </w:tc>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Pre-Assessment (Optional)</w:t>
            </w:r>
          </w:p>
        </w:tc>
        <w:tc>
          <w:tcPr>
            <w:tcW w:type="dxa" w:w="58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External pre-assessment by certification body to identify remaining gaps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Stage 1 Audit (Document Review)</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Certification body reviews EMS documentation and readiness</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9</w:t>
            </w:r>
          </w:p>
        </w:tc>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Stage 2 Audit (On-site Assessment)</w:t>
            </w:r>
          </w:p>
        </w:tc>
        <w:tc>
          <w:tcPr>
            <w:tcW w:type="dxa" w:w="58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Certification body verifies EMS is implemented and effective on-site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Certification Decision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Certification body grants ISO 14001 certificate (valid 3 years with surveillance audits)</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11</w:t>
            </w:r>
          </w:p>
        </w:tc>
        <w:tc>
          <w:tcPr>
            <w:tcW w:type="dxa" w:w="28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Surveillance Audits</w:t>
            </w:r>
          </w:p>
        </w:tc>
        <w:tc>
          <w:tcPr>
            <w:tcW w:type="dxa" w:w="58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Annual audits to verify continued compliance and improvement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Recertification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Full recertification audit every 3 years</w:t>
            </w:r>
          </w:p>
        </w:tc>
      </w:tr>
    </w:tbl>
    <w:p>
      <w:pPr>
        <w:spacing w:after="60" w:before="60"/>
      </w:pPr>
      <w:r>
        <w:t xml:space="preserve"/>
      </w:r>
    </w:p>
    <w:p>
      <w:pPr>
        <w:pStyle w:val="Heading2"/>
      </w:pPr>
      <w:r>
        <w:rPr>
          <w:b/>
          <w:bCs/>
          <w:color w:val="2E75B6"/>
          <w:sz w:val="26"/>
          <w:szCs w:val="26"/>
        </w:rPr>
        <w:t xml:space="preserve">Key Requirements of ISO 14001:2015</w:t>
      </w:r>
    </w:p>
    <w:p>
      <w:pPr>
        <w:pStyle w:val="ListParagraph"/>
        <w:numPr>
          <w:ilvl w:val="0"/>
          <w:numId w:val="2"/>
        </w:numPr>
        <w:spacing w:after="60" w:before="60"/>
      </w:pPr>
      <w:r>
        <w:rPr>
          <w:sz w:val="22"/>
          <w:szCs w:val="22"/>
        </w:rPr>
        <w:t xml:space="preserve">Context of the organization: Understanding internal and external issues affecting the EMS</w:t>
      </w:r>
    </w:p>
    <w:p>
      <w:pPr>
        <w:pStyle w:val="ListParagraph"/>
        <w:numPr>
          <w:ilvl w:val="0"/>
          <w:numId w:val="2"/>
        </w:numPr>
        <w:spacing w:after="60" w:before="60"/>
      </w:pPr>
      <w:r>
        <w:rPr>
          <w:sz w:val="22"/>
          <w:szCs w:val="22"/>
        </w:rPr>
        <w:t xml:space="preserve">Environmental Policy: Top management commitment to the environment</w:t>
      </w:r>
    </w:p>
    <w:p>
      <w:pPr>
        <w:pStyle w:val="ListParagraph"/>
        <w:numPr>
          <w:ilvl w:val="0"/>
          <w:numId w:val="2"/>
        </w:numPr>
        <w:spacing w:after="60" w:before="60"/>
      </w:pPr>
      <w:r>
        <w:rPr>
          <w:sz w:val="22"/>
          <w:szCs w:val="22"/>
        </w:rPr>
        <w:t xml:space="preserve">Environmental Aspects &amp; Impacts: Identification and evaluation</w:t>
      </w:r>
    </w:p>
    <w:p>
      <w:pPr>
        <w:pStyle w:val="ListParagraph"/>
        <w:numPr>
          <w:ilvl w:val="0"/>
          <w:numId w:val="2"/>
        </w:numPr>
        <w:spacing w:after="60" w:before="60"/>
      </w:pPr>
      <w:r>
        <w:rPr>
          <w:sz w:val="22"/>
          <w:szCs w:val="22"/>
        </w:rPr>
        <w:t xml:space="preserve">Legal Compliance: Compliance with applicable legal and other requirements</w:t>
      </w:r>
    </w:p>
    <w:p>
      <w:pPr>
        <w:pStyle w:val="ListParagraph"/>
        <w:numPr>
          <w:ilvl w:val="0"/>
          <w:numId w:val="2"/>
        </w:numPr>
        <w:spacing w:after="60" w:before="60"/>
      </w:pPr>
      <w:r>
        <w:rPr>
          <w:sz w:val="22"/>
          <w:szCs w:val="22"/>
        </w:rPr>
        <w:t xml:space="preserve">Objectives &amp; Targets: Setting measurable environmental goals</w:t>
      </w:r>
    </w:p>
    <w:p>
      <w:pPr>
        <w:pStyle w:val="ListParagraph"/>
        <w:numPr>
          <w:ilvl w:val="0"/>
          <w:numId w:val="2"/>
        </w:numPr>
        <w:spacing w:after="60" w:before="60"/>
      </w:pPr>
      <w:r>
        <w:rPr>
          <w:sz w:val="22"/>
          <w:szCs w:val="22"/>
        </w:rPr>
        <w:t xml:space="preserve">Operational Control: Procedures to manage significant environmental aspects</w:t>
      </w:r>
    </w:p>
    <w:p>
      <w:pPr>
        <w:pStyle w:val="ListParagraph"/>
        <w:numPr>
          <w:ilvl w:val="0"/>
          <w:numId w:val="2"/>
        </w:numPr>
        <w:spacing w:after="60" w:before="60"/>
      </w:pPr>
      <w:r>
        <w:rPr>
          <w:sz w:val="22"/>
          <w:szCs w:val="22"/>
        </w:rPr>
        <w:t xml:space="preserve">Emergency Preparedness: Plans for environmental accidents</w:t>
      </w:r>
    </w:p>
    <w:p>
      <w:pPr>
        <w:pStyle w:val="ListParagraph"/>
        <w:numPr>
          <w:ilvl w:val="0"/>
          <w:numId w:val="2"/>
        </w:numPr>
        <w:spacing w:after="60" w:before="60"/>
      </w:pPr>
      <w:r>
        <w:rPr>
          <w:sz w:val="22"/>
          <w:szCs w:val="22"/>
        </w:rPr>
        <w:t xml:space="preserve">Monitoring &amp; Measurement: Tracking environmental performance</w:t>
      </w:r>
    </w:p>
    <w:p>
      <w:pPr>
        <w:spacing w:after="60" w:before="60"/>
      </w:pPr>
      <w:r>
        <w:t xml:space="preserve"/>
      </w:r>
    </w:p>
    <w:p>
      <w:r>
        <w:br w:type="page"/>
      </w:r>
    </w:p>
    <w:p>
      <w:pPr>
        <w:pStyle w:val="Heading1"/>
      </w:pPr>
      <w:r>
        <w:rPr>
          <w:b/>
          <w:bCs/>
          <w:color w:val="1F5C8B"/>
          <w:sz w:val="32"/>
          <w:szCs w:val="32"/>
        </w:rPr>
        <w:t xml:space="preserve">8. Environmental Management System (EMS) and PDCA Cycle</w:t>
      </w:r>
    </w:p>
    <w:p>
      <w:pPr>
        <w:pStyle w:val="Heading2"/>
      </w:pPr>
      <w:r>
        <w:rPr>
          <w:b/>
          <w:bCs/>
          <w:color w:val="2E75B6"/>
          <w:sz w:val="26"/>
          <w:szCs w:val="26"/>
        </w:rPr>
        <w:t xml:space="preserve">8.1 Environmental Management System (EMS)</w:t>
      </w:r>
    </w:p>
    <w:p>
      <w:pPr>
        <w:spacing w:after="120" w:before="120"/>
      </w:pPr>
      <w:r>
        <w:rPr>
          <w:sz w:val="22"/>
          <w:szCs w:val="22"/>
        </w:rPr>
        <w:t xml:space="preserve">An Environmental Management System (EMS) is a set of processes and practices that enable an organization to reduce its environmental impacts and increase its operating efficiency. It provides a systematic framework for managing the environmental aspects of an organization's activities, products, and services.</w:t>
      </w:r>
    </w:p>
    <w:p>
      <w:pPr>
        <w:spacing w:after="60" w:before="60"/>
      </w:pPr>
      <w:r>
        <w:t xml:space="preserve"/>
      </w:r>
    </w:p>
    <w:p>
      <w:pPr>
        <w:pStyle w:val="Heading3"/>
      </w:pPr>
      <w:r>
        <w:rPr>
          <w:b/>
          <w:bCs/>
          <w:color w:val="2F5496"/>
          <w:sz w:val="24"/>
          <w:szCs w:val="24"/>
        </w:rPr>
        <w:t xml:space="preserve">Key Components of EMS:</w:t>
      </w:r>
    </w:p>
    <w:p>
      <w:pPr>
        <w:pStyle w:val="ListParagraph"/>
        <w:numPr>
          <w:ilvl w:val="0"/>
          <w:numId w:val="2"/>
        </w:numPr>
        <w:spacing w:after="60" w:before="60"/>
      </w:pPr>
      <w:r>
        <w:rPr>
          <w:sz w:val="22"/>
          <w:szCs w:val="22"/>
        </w:rPr>
        <w:t xml:space="preserve">Environmental Policy – Top management's commitment to the environment</w:t>
      </w:r>
    </w:p>
    <w:p>
      <w:pPr>
        <w:pStyle w:val="ListParagraph"/>
        <w:numPr>
          <w:ilvl w:val="0"/>
          <w:numId w:val="2"/>
        </w:numPr>
        <w:spacing w:after="60" w:before="60"/>
      </w:pPr>
      <w:r>
        <w:rPr>
          <w:sz w:val="22"/>
          <w:szCs w:val="22"/>
        </w:rPr>
        <w:t xml:space="preserve">Environmental Aspects and Impacts – Identifying activities that affect the environment</w:t>
      </w:r>
    </w:p>
    <w:p>
      <w:pPr>
        <w:pStyle w:val="ListParagraph"/>
        <w:numPr>
          <w:ilvl w:val="0"/>
          <w:numId w:val="2"/>
        </w:numPr>
        <w:spacing w:after="60" w:before="60"/>
      </w:pPr>
      <w:r>
        <w:rPr>
          <w:sz w:val="22"/>
          <w:szCs w:val="22"/>
        </w:rPr>
        <w:t xml:space="preserve">Legal and Other Requirements – Compliance obligations</w:t>
      </w:r>
    </w:p>
    <w:p>
      <w:pPr>
        <w:pStyle w:val="ListParagraph"/>
        <w:numPr>
          <w:ilvl w:val="0"/>
          <w:numId w:val="2"/>
        </w:numPr>
        <w:spacing w:after="60" w:before="60"/>
      </w:pPr>
      <w:r>
        <w:rPr>
          <w:sz w:val="22"/>
          <w:szCs w:val="22"/>
        </w:rPr>
        <w:t xml:space="preserve">Objectives and Targets – Measurable environmental goals</w:t>
      </w:r>
    </w:p>
    <w:p>
      <w:pPr>
        <w:pStyle w:val="ListParagraph"/>
        <w:numPr>
          <w:ilvl w:val="0"/>
          <w:numId w:val="2"/>
        </w:numPr>
        <w:spacing w:after="60" w:before="60"/>
      </w:pPr>
      <w:r>
        <w:rPr>
          <w:sz w:val="22"/>
          <w:szCs w:val="22"/>
        </w:rPr>
        <w:t xml:space="preserve">Environmental Management Programs – Action plans to achieve objectives</w:t>
      </w:r>
    </w:p>
    <w:p>
      <w:pPr>
        <w:pStyle w:val="ListParagraph"/>
        <w:numPr>
          <w:ilvl w:val="0"/>
          <w:numId w:val="2"/>
        </w:numPr>
        <w:spacing w:after="60" w:before="60"/>
      </w:pPr>
      <w:r>
        <w:rPr>
          <w:sz w:val="22"/>
          <w:szCs w:val="22"/>
        </w:rPr>
        <w:t xml:space="preserve">Training and Awareness – Employee competence and communication</w:t>
      </w:r>
    </w:p>
    <w:p>
      <w:pPr>
        <w:pStyle w:val="ListParagraph"/>
        <w:numPr>
          <w:ilvl w:val="0"/>
          <w:numId w:val="2"/>
        </w:numPr>
        <w:spacing w:after="60" w:before="60"/>
      </w:pPr>
      <w:r>
        <w:rPr>
          <w:sz w:val="22"/>
          <w:szCs w:val="22"/>
        </w:rPr>
        <w:t xml:space="preserve">Operational Control – Procedures for significant aspects</w:t>
      </w:r>
    </w:p>
    <w:p>
      <w:pPr>
        <w:pStyle w:val="ListParagraph"/>
        <w:numPr>
          <w:ilvl w:val="0"/>
          <w:numId w:val="2"/>
        </w:numPr>
        <w:spacing w:after="60" w:before="60"/>
      </w:pPr>
      <w:r>
        <w:rPr>
          <w:sz w:val="22"/>
          <w:szCs w:val="22"/>
        </w:rPr>
        <w:t xml:space="preserve">Monitoring and Measurement – Tracking performance data</w:t>
      </w:r>
    </w:p>
    <w:p>
      <w:pPr>
        <w:pStyle w:val="ListParagraph"/>
        <w:numPr>
          <w:ilvl w:val="0"/>
          <w:numId w:val="2"/>
        </w:numPr>
        <w:spacing w:after="60" w:before="60"/>
      </w:pPr>
      <w:r>
        <w:rPr>
          <w:sz w:val="22"/>
          <w:szCs w:val="22"/>
        </w:rPr>
        <w:t xml:space="preserve">Internal Audit – Checking conformance to EMS requirements</w:t>
      </w:r>
    </w:p>
    <w:p>
      <w:pPr>
        <w:pStyle w:val="ListParagraph"/>
        <w:numPr>
          <w:ilvl w:val="0"/>
          <w:numId w:val="2"/>
        </w:numPr>
        <w:spacing w:after="60" w:before="60"/>
      </w:pPr>
      <w:r>
        <w:rPr>
          <w:sz w:val="22"/>
          <w:szCs w:val="22"/>
        </w:rPr>
        <w:t xml:space="preserve">Management Review – Top-level review and continual improvement</w:t>
      </w:r>
    </w:p>
    <w:p>
      <w:pPr>
        <w:spacing w:after="60" w:before="60"/>
      </w:pPr>
      <w:r>
        <w:t xml:space="preserve"/>
      </w:r>
    </w:p>
    <w:p>
      <w:pPr>
        <w:pStyle w:val="Heading2"/>
      </w:pPr>
      <w:r>
        <w:rPr>
          <w:b/>
          <w:bCs/>
          <w:color w:val="2E75B6"/>
          <w:sz w:val="26"/>
          <w:szCs w:val="26"/>
        </w:rPr>
        <w:t xml:space="preserve">8.2 PDCA Cycle (Plan-Do-Check-Act)</w:t>
      </w:r>
    </w:p>
    <w:p>
      <w:pPr>
        <w:spacing w:after="120" w:before="120"/>
      </w:pPr>
      <w:r>
        <w:rPr>
          <w:sz w:val="22"/>
          <w:szCs w:val="22"/>
        </w:rPr>
        <w:t xml:space="preserve">The PDCA cycle (also called the Deming Cycle or Shewhart Cycle) is the operational model for continual improvement in EMS (ISO 14001) and quality management (ISO 9001). It is a four-step iterative management method.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5C8B" w:sz="1"/>
              <w:left w:val="single" w:color="1F5C8B" w:sz="1"/>
              <w:bottom w:val="single" w:color="1F5C8B" w:sz="1"/>
              <w:right w:val="single" w:color="1F5C8B" w:sz="1"/>
            </w:tcBorders>
            <w:shd w:fill="1F5C8B" w:val="clear"/>
            <w:tcMar>
              <w:top w:type="dxa" w:w="100"/>
              <w:left w:type="dxa" w:w="100"/>
              <w:bottom w:type="dxa" w:w="100"/>
              <w:right w:type="dxa" w:w="100"/>
            </w:tcMar>
          </w:tcPr>
          <w:p>
            <w:pPr>
              <w:jc w:val="center"/>
            </w:pPr>
            <w:r>
              <w:rPr>
                <w:b/>
                <w:bCs/>
                <w:color w:val="FFFFFF"/>
                <w:sz w:val="32"/>
                <w:szCs w:val="32"/>
              </w:rPr>
              <w:t xml:space="preserve">PLAN</w:t>
            </w:r>
          </w:p>
          <w:p>
            <w:pPr>
              <w:jc w:val="center"/>
            </w:pPr>
            <w:r>
              <w:rPr>
                <w:color w:val="FFFFFF"/>
                <w:sz w:val="18"/>
                <w:szCs w:val="18"/>
              </w:rPr>
              <w:t xml:space="preserve">Set objectives, identify processes needed to deliver results, establish targets</w:t>
            </w:r>
          </w:p>
        </w:tc>
        <w:tc>
          <w:tcPr>
            <w:tcW w:type="dxa" w:w="2340"/>
            <w:tcBorders>
              <w:top w:val="single" w:color="1F5C8B" w:sz="1"/>
              <w:left w:val="single" w:color="1F5C8B" w:sz="1"/>
              <w:bottom w:val="single" w:color="1F5C8B" w:sz="1"/>
              <w:right w:val="single" w:color="1F5C8B" w:sz="1"/>
            </w:tcBorders>
            <w:shd w:fill="548235" w:val="clear"/>
            <w:tcMar>
              <w:top w:type="dxa" w:w="100"/>
              <w:left w:type="dxa" w:w="100"/>
              <w:bottom w:type="dxa" w:w="100"/>
              <w:right w:type="dxa" w:w="100"/>
            </w:tcMar>
          </w:tcPr>
          <w:p>
            <w:pPr>
              <w:jc w:val="center"/>
            </w:pPr>
            <w:r>
              <w:rPr>
                <w:b/>
                <w:bCs/>
                <w:color w:val="FFFFFF"/>
                <w:sz w:val="32"/>
                <w:szCs w:val="32"/>
              </w:rPr>
              <w:t xml:space="preserve">DO</w:t>
            </w:r>
          </w:p>
          <w:p>
            <w:pPr>
              <w:jc w:val="center"/>
            </w:pPr>
            <w:r>
              <w:rPr>
                <w:color w:val="FFFFFF"/>
                <w:sz w:val="18"/>
                <w:szCs w:val="18"/>
              </w:rPr>
              <w:t xml:space="preserve">Implement the plan, execute the processes, make the product</w:t>
            </w:r>
          </w:p>
        </w:tc>
        <w:tc>
          <w:tcPr>
            <w:tcW w:type="dxa" w:w="2340"/>
            <w:tcBorders>
              <w:top w:val="single" w:color="1F5C8B" w:sz="1"/>
              <w:left w:val="single" w:color="1F5C8B" w:sz="1"/>
              <w:bottom w:val="single" w:color="1F5C8B" w:sz="1"/>
              <w:right w:val="single" w:color="1F5C8B" w:sz="1"/>
            </w:tcBorders>
            <w:shd w:fill="C00000" w:val="clear"/>
            <w:tcMar>
              <w:top w:type="dxa" w:w="100"/>
              <w:left w:type="dxa" w:w="100"/>
              <w:bottom w:type="dxa" w:w="100"/>
              <w:right w:type="dxa" w:w="100"/>
            </w:tcMar>
          </w:tcPr>
          <w:p>
            <w:pPr>
              <w:jc w:val="center"/>
            </w:pPr>
            <w:r>
              <w:rPr>
                <w:b/>
                <w:bCs/>
                <w:color w:val="FFFFFF"/>
                <w:sz w:val="32"/>
                <w:szCs w:val="32"/>
              </w:rPr>
              <w:t xml:space="preserve">CHECK</w:t>
            </w:r>
          </w:p>
          <w:p>
            <w:pPr>
              <w:jc w:val="center"/>
            </w:pPr>
            <w:r>
              <w:rPr>
                <w:color w:val="FFFFFF"/>
                <w:sz w:val="18"/>
                <w:szCs w:val="18"/>
              </w:rPr>
              <w:t xml:space="preserve">Monitor and measure processes against policies and objectives, report results</w:t>
            </w:r>
          </w:p>
        </w:tc>
        <w:tc>
          <w:tcPr>
            <w:tcW w:type="dxa" w:w="2340"/>
            <w:tcBorders>
              <w:top w:val="single" w:color="1F5C8B" w:sz="1"/>
              <w:left w:val="single" w:color="1F5C8B" w:sz="1"/>
              <w:bottom w:val="single" w:color="1F5C8B" w:sz="1"/>
              <w:right w:val="single" w:color="1F5C8B" w:sz="1"/>
            </w:tcBorders>
            <w:shd w:fill="7030A0" w:val="clear"/>
            <w:tcMar>
              <w:top w:type="dxa" w:w="100"/>
              <w:left w:type="dxa" w:w="100"/>
              <w:bottom w:type="dxa" w:w="100"/>
              <w:right w:type="dxa" w:w="100"/>
            </w:tcMar>
          </w:tcPr>
          <w:p>
            <w:pPr>
              <w:jc w:val="center"/>
            </w:pPr>
            <w:r>
              <w:rPr>
                <w:b/>
                <w:bCs/>
                <w:color w:val="FFFFFF"/>
                <w:sz w:val="32"/>
                <w:szCs w:val="32"/>
              </w:rPr>
              <w:t xml:space="preserve">ACT</w:t>
            </w:r>
          </w:p>
          <w:p>
            <w:pPr>
              <w:jc w:val="center"/>
            </w:pPr>
            <w:r>
              <w:rPr>
                <w:color w:val="FFFFFF"/>
                <w:sz w:val="18"/>
                <w:szCs w:val="18"/>
              </w:rPr>
              <w:t xml:space="preserve">Take actions to continually improve process performance, standardize solutions</w:t>
            </w:r>
          </w:p>
        </w:tc>
      </w:tr>
      <w:tr>
        <w:tc>
          <w:tcPr>
            <w:tcW w:type="dxa" w:w="9360"/>
            <w:gridSpan w:val="4"/>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b/>
                <w:bCs/>
                <w:sz w:val="20"/>
                <w:szCs w:val="20"/>
              </w:rPr>
              <w:t xml:space="preserve">PDCA Cycle: Plan → Do → Check → Act → (repeat continuously)</w:t>
            </w:r>
          </w:p>
        </w:tc>
      </w:tr>
    </w:tbl>
    <w:p>
      <w:pPr>
        <w:spacing w:after="60" w:before="60"/>
      </w:pPr>
      <w:r>
        <w:t xml:space="preserve"/>
      </w:r>
    </w:p>
    <w:p>
      <w:pPr>
        <w:pStyle w:val="Heading3"/>
      </w:pPr>
      <w:r>
        <w:rPr>
          <w:b/>
          <w:bCs/>
          <w:color w:val="2F5496"/>
          <w:sz w:val="24"/>
          <w:szCs w:val="24"/>
        </w:rPr>
        <w:t xml:space="preserve">Detailed Explanation of Each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1F5C8B" w:sz="1"/>
              <w:left w:val="single" w:color="1F5C8B" w:sz="1"/>
              <w:bottom w:val="single" w:color="1F5C8B" w:sz="1"/>
              <w:right w:val="single" w:color="1F5C8B" w:sz="1"/>
            </w:tcBorders>
            <w:shd w:fill="1F5C8B" w:val="clear"/>
            <w:tcMar>
              <w:top w:type="dxa" w:w="100"/>
              <w:left w:type="dxa" w:w="150"/>
              <w:bottom w:type="dxa" w:w="100"/>
              <w:right w:type="dxa" w:w="150"/>
            </w:tcMar>
          </w:tcPr>
          <w:p>
            <w:r>
              <w:rPr>
                <w:b/>
                <w:bCs/>
                <w:color w:val="FFFFFF"/>
                <w:sz w:val="22"/>
                <w:szCs w:val="22"/>
              </w:rPr>
              <w:t xml:space="preserve">Phase</w:t>
            </w:r>
          </w:p>
        </w:tc>
        <w:tc>
          <w:tcPr>
            <w:tcW w:type="dxa" w:w="7860"/>
            <w:tcBorders>
              <w:top w:val="single" w:color="1F5C8B" w:sz="1"/>
              <w:left w:val="single" w:color="1F5C8B" w:sz="1"/>
              <w:bottom w:val="single" w:color="1F5C8B" w:sz="1"/>
              <w:right w:val="single" w:color="1F5C8B" w:sz="1"/>
            </w:tcBorders>
            <w:shd w:fill="1F5C8B" w:val="clear"/>
            <w:tcMar>
              <w:top w:type="dxa" w:w="100"/>
              <w:left w:type="dxa" w:w="150"/>
              <w:bottom w:type="dxa" w:w="100"/>
              <w:right w:type="dxa" w:w="150"/>
            </w:tcMar>
          </w:tcPr>
          <w:p>
            <w:r>
              <w:rPr>
                <w:b/>
                <w:bCs/>
                <w:color w:val="FFFFFF"/>
                <w:sz w:val="22"/>
                <w:szCs w:val="22"/>
              </w:rPr>
              <w:t xml:space="preserve">EMS Activities</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PLAN</w:t>
            </w:r>
          </w:p>
        </w:tc>
        <w:tc>
          <w:tcPr>
            <w:tcW w:type="dxa" w:w="78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Define environmental policy; Identify environmental aspects; Set objectives &amp; targets; Develop EMS documentation; Determine legal requirements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DO</w:t>
            </w:r>
          </w:p>
        </w:tc>
        <w:tc>
          <w:tcPr>
            <w:tcW w:type="dxa" w:w="7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Implement EMS; Conduct training; Establish operational controls; Set up emergency preparedness; Execute environmental programs</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CHECK</w:t>
            </w:r>
          </w:p>
        </w:tc>
        <w:tc>
          <w:tcPr>
            <w:tcW w:type="dxa" w:w="78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Monitor &amp; measure environmental performance; Conduct internal audits; Evaluate legal compliance; Identify nonconformities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ACT</w:t>
            </w:r>
          </w:p>
        </w:tc>
        <w:tc>
          <w:tcPr>
            <w:tcW w:type="dxa" w:w="7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Take corrective &amp; preventive actions; Review EMS in management review; Update environmental objectives; Continually improve the EMS</w:t>
            </w:r>
          </w:p>
        </w:tc>
      </w:tr>
    </w:tbl>
    <w:p>
      <w:pPr>
        <w:spacing w:after="60" w:before="60"/>
      </w:pPr>
      <w:r>
        <w:t xml:space="preserve"/>
      </w:r>
    </w:p>
    <w:p>
      <w:r>
        <w:br w:type="page"/>
      </w:r>
    </w:p>
    <w:p>
      <w:pPr>
        <w:pStyle w:val="Heading1"/>
      </w:pPr>
      <w:r>
        <w:rPr>
          <w:b/>
          <w:bCs/>
          <w:color w:val="1F5C8B"/>
          <w:sz w:val="32"/>
          <w:szCs w:val="32"/>
        </w:rPr>
        <w:t xml:space="preserve">9. Different TQM Tools</w:t>
      </w:r>
    </w:p>
    <w:p>
      <w:pPr>
        <w:spacing w:after="120" w:before="120"/>
      </w:pPr>
      <w:r>
        <w:rPr>
          <w:sz w:val="22"/>
          <w:szCs w:val="22"/>
        </w:rPr>
        <w:t xml:space="preserve">The Seven Basic Quality Tools (7 QC Tools) were originally defined by Kaoru Ishikawa and are fundamental to Total Quality Management. These tools help identify and solve quality-related problems.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5960"/>
      </w:tblGrid>
      <w:tr>
        <w:trPr>
          <w:tblHeader/>
        </w:trPr>
        <w:tc>
          <w:tcPr>
            <w:tcW w:type="dxa" w:w="400"/>
            <w:tcBorders>
              <w:top w:val="single" w:color="1F5C8B" w:sz="1"/>
              <w:left w:val="single" w:color="1F5C8B" w:sz="1"/>
              <w:bottom w:val="single" w:color="1F5C8B" w:sz="1"/>
              <w:right w:val="single" w:color="1F5C8B" w:sz="1"/>
            </w:tcBorders>
            <w:shd w:fill="1F5C8B" w:val="clear"/>
            <w:tcMar>
              <w:top w:type="dxa" w:w="100"/>
              <w:left w:type="dxa" w:w="150"/>
              <w:bottom w:type="dxa" w:w="100"/>
              <w:right w:type="dxa" w:w="150"/>
            </w:tcMar>
          </w:tcPr>
          <w:p>
            <w:r>
              <w:rPr>
                <w:b/>
                <w:bCs/>
                <w:color w:val="FFFFFF"/>
                <w:sz w:val="22"/>
                <w:szCs w:val="22"/>
              </w:rPr>
              <w:t xml:space="preserve">#</w:t>
            </w:r>
          </w:p>
        </w:tc>
        <w:tc>
          <w:tcPr>
            <w:tcW w:type="dxa" w:w="3000"/>
            <w:tcBorders>
              <w:top w:val="single" w:color="1F5C8B" w:sz="1"/>
              <w:left w:val="single" w:color="1F5C8B" w:sz="1"/>
              <w:bottom w:val="single" w:color="1F5C8B" w:sz="1"/>
              <w:right w:val="single" w:color="1F5C8B" w:sz="1"/>
            </w:tcBorders>
            <w:shd w:fill="1F5C8B" w:val="clear"/>
            <w:tcMar>
              <w:top w:type="dxa" w:w="100"/>
              <w:left w:type="dxa" w:w="150"/>
              <w:bottom w:type="dxa" w:w="100"/>
              <w:right w:type="dxa" w:w="150"/>
            </w:tcMar>
          </w:tcPr>
          <w:p>
            <w:r>
              <w:rPr>
                <w:b/>
                <w:bCs/>
                <w:color w:val="FFFFFF"/>
                <w:sz w:val="22"/>
                <w:szCs w:val="22"/>
              </w:rPr>
              <w:t xml:space="preserve">TQM Tool</w:t>
            </w:r>
          </w:p>
        </w:tc>
        <w:tc>
          <w:tcPr>
            <w:tcW w:type="dxa" w:w="5960"/>
            <w:tcBorders>
              <w:top w:val="single" w:color="1F5C8B" w:sz="1"/>
              <w:left w:val="single" w:color="1F5C8B" w:sz="1"/>
              <w:bottom w:val="single" w:color="1F5C8B" w:sz="1"/>
              <w:right w:val="single" w:color="1F5C8B" w:sz="1"/>
            </w:tcBorders>
            <w:shd w:fill="1F5C8B" w:val="clear"/>
            <w:tcMar>
              <w:top w:type="dxa" w:w="100"/>
              <w:left w:type="dxa" w:w="150"/>
              <w:bottom w:type="dxa" w:w="100"/>
              <w:right w:type="dxa" w:w="150"/>
            </w:tcMar>
          </w:tcPr>
          <w:p>
            <w:r>
              <w:rPr>
                <w:b/>
                <w:bCs/>
                <w:color w:val="FFFFFF"/>
                <w:sz w:val="22"/>
                <w:szCs w:val="22"/>
              </w:rPr>
              <w:t xml:space="preserve">Purpose / Description</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1</w:t>
            </w:r>
          </w:p>
        </w:tc>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Cause &amp; Effect Diagram (Ishikawa)</w:t>
            </w:r>
          </w:p>
        </w:tc>
        <w:tc>
          <w:tcPr>
            <w:tcW w:type="dxa" w:w="59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Identifies root causes of quality problems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Pareto Chart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Identifies most significant factors (80/20 rule)</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3</w:t>
            </w:r>
          </w:p>
        </w:tc>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Control Chart</w:t>
            </w:r>
          </w:p>
        </w:tc>
        <w:tc>
          <w:tcPr>
            <w:tcW w:type="dxa" w:w="59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Monitors process variation over time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Histogram</w:t>
            </w:r>
          </w:p>
        </w:tc>
        <w:tc>
          <w:tcPr>
            <w:tcW w:type="dxa" w:w="5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Shows distribution of data / frequency</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5</w:t>
            </w:r>
          </w:p>
        </w:tc>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Scatter Diagram</w:t>
            </w:r>
          </w:p>
        </w:tc>
        <w:tc>
          <w:tcPr>
            <w:tcW w:type="dxa" w:w="59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Shows relationship between two variables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Flowchart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Maps process steps visually</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7</w:t>
            </w:r>
          </w:p>
        </w:tc>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Check Sheet</w:t>
            </w:r>
          </w:p>
        </w:tc>
        <w:tc>
          <w:tcPr>
            <w:tcW w:type="dxa" w:w="59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Collects and organizes data systematically</w:t>
            </w:r>
          </w:p>
        </w:tc>
      </w:tr>
    </w:tbl>
    <w:p>
      <w:pPr>
        <w:spacing w:after="60" w:before="60"/>
      </w:pPr>
      <w:r>
        <w:t xml:space="preserve"/>
      </w:r>
    </w:p>
    <w:p>
      <w:pPr>
        <w:pStyle w:val="Heading2"/>
      </w:pPr>
      <w:r>
        <w:rPr>
          <w:b/>
          <w:bCs/>
          <w:color w:val="2E75B6"/>
          <w:sz w:val="26"/>
          <w:szCs w:val="26"/>
        </w:rPr>
        <w:t xml:space="preserve">Additional TQM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5C8B" w:sz="1"/>
              <w:left w:val="single" w:color="1F5C8B" w:sz="1"/>
              <w:bottom w:val="single" w:color="1F5C8B" w:sz="1"/>
              <w:right w:val="single" w:color="1F5C8B" w:sz="1"/>
            </w:tcBorders>
            <w:shd w:fill="1F5C8B" w:val="clear"/>
            <w:tcMar>
              <w:top w:type="dxa" w:w="100"/>
              <w:left w:type="dxa" w:w="150"/>
              <w:bottom w:type="dxa" w:w="100"/>
              <w:right w:type="dxa" w:w="150"/>
            </w:tcMar>
          </w:tcPr>
          <w:p>
            <w:r>
              <w:rPr>
                <w:b/>
                <w:bCs/>
                <w:color w:val="FFFFFF"/>
                <w:sz w:val="22"/>
                <w:szCs w:val="22"/>
              </w:rPr>
              <w:t xml:space="preserve">Tool</w:t>
            </w:r>
          </w:p>
        </w:tc>
        <w:tc>
          <w:tcPr>
            <w:tcW w:type="dxa" w:w="5860"/>
            <w:tcBorders>
              <w:top w:val="single" w:color="1F5C8B" w:sz="1"/>
              <w:left w:val="single" w:color="1F5C8B" w:sz="1"/>
              <w:bottom w:val="single" w:color="1F5C8B" w:sz="1"/>
              <w:right w:val="single" w:color="1F5C8B" w:sz="1"/>
            </w:tcBorders>
            <w:shd w:fill="1F5C8B" w:val="clear"/>
            <w:tcMar>
              <w:top w:type="dxa" w:w="100"/>
              <w:left w:type="dxa" w:w="150"/>
              <w:bottom w:type="dxa" w:w="100"/>
              <w:right w:type="dxa" w:w="150"/>
            </w:tcMar>
          </w:tcPr>
          <w:p>
            <w:r>
              <w:rPr>
                <w:b/>
                <w:bCs/>
                <w:color w:val="FFFFFF"/>
                <w:sz w:val="22"/>
                <w:szCs w:val="22"/>
              </w:rPr>
              <w:t xml:space="preserve">Purpose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Benchmarking</w:t>
            </w:r>
          </w:p>
        </w:tc>
        <w:tc>
          <w:tcPr>
            <w:tcW w:type="dxa" w:w="58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Comparing processes to best-in-class organizations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Quality Function Deployment (QFD)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Translating customer needs into product specifications</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Failure Mode and Effect Analysis (FMEA)</w:t>
            </w:r>
          </w:p>
        </w:tc>
        <w:tc>
          <w:tcPr>
            <w:tcW w:type="dxa" w:w="58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Identifying potential failure modes and their effects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Six Sigma (DMAIC)</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Structured problem-solving methodology for defect reduction</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5S Methodology</w:t>
            </w:r>
          </w:p>
        </w:tc>
        <w:tc>
          <w:tcPr>
            <w:tcW w:type="dxa" w:w="58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Workplace organization (Sort, Set, Shine, Standardize, Sustain)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Poka-Yoke (Error Proofing)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Preventing defects through design</w:t>
            </w:r>
          </w:p>
        </w:tc>
      </w:tr>
    </w:tbl>
    <w:p>
      <w:pPr>
        <w:spacing w:after="60" w:before="60"/>
      </w:pPr>
      <w:r>
        <w:t xml:space="preserve"/>
      </w:r>
    </w:p>
    <w:p>
      <w:r>
        <w:br w:type="page"/>
      </w:r>
    </w:p>
    <w:p>
      <w:pPr>
        <w:pStyle w:val="Heading1"/>
      </w:pPr>
      <w:r>
        <w:rPr>
          <w:b/>
          <w:bCs/>
          <w:color w:val="1F5C8B"/>
          <w:sz w:val="32"/>
          <w:szCs w:val="32"/>
        </w:rPr>
        <w:t xml:space="preserve">10. Two TQM Tools Explained in Detail</w:t>
      </w:r>
    </w:p>
    <w:p>
      <w:pPr>
        <w:pStyle w:val="Heading2"/>
      </w:pPr>
      <w:r>
        <w:rPr>
          <w:b/>
          <w:bCs/>
          <w:color w:val="2E75B6"/>
          <w:sz w:val="26"/>
          <w:szCs w:val="26"/>
        </w:rPr>
        <w:t xml:space="preserve">10.1 Control Chart (Shewhart Chart)</w:t>
      </w:r>
    </w:p>
    <w:p>
      <w:pPr>
        <w:spacing w:after="120" w:before="120"/>
      </w:pPr>
      <w:r>
        <w:rPr>
          <w:sz w:val="22"/>
          <w:szCs w:val="22"/>
        </w:rPr>
        <w:t xml:space="preserve">A Control Chart is a statistical process control (SPC) tool used to monitor process behavior over time. It was developed by Walter A. Shewhart in 1924. It helps distinguish between common cause variation (inherent to the process) and special cause variation (unusual, correctable events).</w:t>
      </w:r>
    </w:p>
    <w:p>
      <w:pPr>
        <w:spacing w:after="60" w:before="60"/>
      </w:pPr>
      <w:r>
        <w:t xml:space="preserve"/>
      </w:r>
    </w:p>
    <w:p>
      <w:pPr>
        <w:pStyle w:val="Heading3"/>
      </w:pPr>
      <w:r>
        <w:rPr>
          <w:b/>
          <w:bCs/>
          <w:color w:val="2F5496"/>
          <w:sz w:val="24"/>
          <w:szCs w:val="24"/>
        </w:rPr>
        <w:t xml:space="preserve">Components of a Control Chart:</w:t>
      </w:r>
    </w:p>
    <w:p>
      <w:pPr>
        <w:pStyle w:val="ListParagraph"/>
        <w:numPr>
          <w:ilvl w:val="0"/>
          <w:numId w:val="2"/>
        </w:numPr>
        <w:spacing w:after="60" w:before="60"/>
      </w:pPr>
      <w:r>
        <w:rPr>
          <w:sz w:val="22"/>
          <w:szCs w:val="22"/>
        </w:rPr>
        <w:t xml:space="preserve">Centre Line (CL): The mean/average of the process data</w:t>
      </w:r>
    </w:p>
    <w:p>
      <w:pPr>
        <w:pStyle w:val="ListParagraph"/>
        <w:numPr>
          <w:ilvl w:val="0"/>
          <w:numId w:val="2"/>
        </w:numPr>
        <w:spacing w:after="60" w:before="60"/>
      </w:pPr>
      <w:r>
        <w:rPr>
          <w:sz w:val="22"/>
          <w:szCs w:val="22"/>
        </w:rPr>
        <w:t xml:space="preserve">Upper Control Limit (UCL): Mean + 3 standard deviations</w:t>
      </w:r>
    </w:p>
    <w:p>
      <w:pPr>
        <w:pStyle w:val="ListParagraph"/>
        <w:numPr>
          <w:ilvl w:val="0"/>
          <w:numId w:val="2"/>
        </w:numPr>
        <w:spacing w:after="60" w:before="60"/>
      </w:pPr>
      <w:r>
        <w:rPr>
          <w:sz w:val="22"/>
          <w:szCs w:val="22"/>
        </w:rPr>
        <w:t xml:space="preserve">Lower Control Limit (LCL): Mean - 3 standard deviations</w:t>
      </w:r>
    </w:p>
    <w:p>
      <w:pPr>
        <w:pStyle w:val="ListParagraph"/>
        <w:numPr>
          <w:ilvl w:val="0"/>
          <w:numId w:val="2"/>
        </w:numPr>
        <w:spacing w:after="60" w:before="60"/>
      </w:pPr>
      <w:r>
        <w:rPr>
          <w:sz w:val="22"/>
          <w:szCs w:val="22"/>
        </w:rPr>
        <w:t xml:space="preserve">Data Points: Actual measurements plotted over time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8B" w:sz="1"/>
              <w:left w:val="single" w:color="1F5C8B" w:sz="1"/>
              <w:bottom w:val="single" w:color="1F5C8B" w:sz="1"/>
              <w:right w:val="single" w:color="1F5C8B" w:sz="1"/>
            </w:tcBorders>
            <w:shd w:fill="1F5C8B" w:val="clear"/>
            <w:tcMar>
              <w:top w:type="dxa" w:w="100"/>
              <w:left w:type="dxa" w:w="200"/>
              <w:bottom w:type="dxa" w:w="10"/>
              <w:right w:type="dxa" w:w="200"/>
            </w:tcMar>
          </w:tcPr>
          <w:p>
            <w:pPr>
              <w:jc w:val="center"/>
            </w:pPr>
            <w:r>
              <w:rPr>
                <w:b/>
                <w:bCs/>
                <w:color w:val="FFFFFF"/>
                <w:sz w:val="22"/>
                <w:szCs w:val="22"/>
              </w:rPr>
              <w:t xml:space="preserve">Control Chart – Schematic Representation</w:t>
            </w:r>
          </w:p>
        </w:tc>
      </w:tr>
      <w:tr>
        <w:tc>
          <w:tcPr>
            <w:tcW w:type="dxa" w:w="9360"/>
            <w:tcBorders>
              <w:top w:val="single" w:color="CCCCCC" w:sz="1"/>
              <w:left w:val="single" w:color="CCCCCC" w:sz="1"/>
              <w:bottom w:val="single" w:color="CCCCCC" w:sz="1"/>
              <w:right w:val="single" w:color="CCCCCC" w:sz="1"/>
            </w:tcBorders>
            <w:shd w:fill="F9F9F9" w:val="clear"/>
            <w:tcMar>
              <w:top w:type="dxa" w:w="120"/>
              <w:left w:type="dxa" w:w="200"/>
              <w:bottom w:type="dxa" w:w="120"/>
              <w:right w:type="dxa" w:w="200"/>
            </w:tcMar>
          </w:tcPr>
          <w:p>
            <w:r>
              <w:rPr>
                <w:b/>
                <w:bCs/>
                <w:color w:val="C00000"/>
                <w:sz w:val="20"/>
                <w:szCs w:val="20"/>
              </w:rPr>
              <w:t xml:space="preserve">UCL ─────────────────────────────────────────────── Upper Control Limit</w:t>
            </w:r>
          </w:p>
          <w:p>
            <w:r>
              <w:rPr>
                <w:sz w:val="20"/>
                <w:szCs w:val="20"/>
              </w:rPr>
              <w:t xml:space="preserve">                 •         •</w:t>
            </w:r>
          </w:p>
          <w:p>
            <w:r>
              <w:rPr>
                <w:b/>
                <w:bCs/>
                <w:color w:val="548235"/>
                <w:sz w:val="20"/>
                <w:szCs w:val="20"/>
              </w:rPr>
              <w:t xml:space="preserve">CL  ────────────────•───────────────•──────────── Centre Line (Mean)</w:t>
            </w:r>
          </w:p>
          <w:p>
            <w:r>
              <w:rPr>
                <w:sz w:val="20"/>
                <w:szCs w:val="20"/>
              </w:rPr>
              <w:t xml:space="preserve">          •                    •</w:t>
            </w:r>
          </w:p>
          <w:p>
            <w:r>
              <w:rPr>
                <w:b/>
                <w:bCs/>
                <w:color w:val="2E75B6"/>
                <w:sz w:val="20"/>
                <w:szCs w:val="20"/>
              </w:rPr>
              <w:t xml:space="preserve">LCL ─────────────────────────────────────────────── Lower Control Limit</w:t>
            </w:r>
          </w:p>
          <w:p>
            <w:r>
              <w:rPr>
                <w:i/>
                <w:iCs/>
                <w:color w:val="595959"/>
                <w:sz w:val="18"/>
                <w:szCs w:val="18"/>
              </w:rPr>
              <w:t xml:space="preserve">         Time →</w:t>
            </w:r>
          </w:p>
        </w:tc>
      </w:tr>
    </w:tbl>
    <w:p>
      <w:pPr>
        <w:spacing w:after="60" w:before="60"/>
      </w:pPr>
      <w:r>
        <w:t xml:space="preserve"/>
      </w:r>
    </w:p>
    <w:p>
      <w:pPr>
        <w:pStyle w:val="Heading3"/>
      </w:pPr>
      <w:r>
        <w:rPr>
          <w:b/>
          <w:bCs/>
          <w:color w:val="2F5496"/>
          <w:sz w:val="24"/>
          <w:szCs w:val="24"/>
        </w:rPr>
        <w:t xml:space="preserve">Rules for Out-of-Control Signals:</w:t>
      </w:r>
    </w:p>
    <w:p>
      <w:pPr>
        <w:pStyle w:val="ListParagraph"/>
        <w:numPr>
          <w:ilvl w:val="0"/>
          <w:numId w:val="2"/>
        </w:numPr>
        <w:spacing w:after="60" w:before="60"/>
      </w:pPr>
      <w:r>
        <w:rPr>
          <w:sz w:val="22"/>
          <w:szCs w:val="22"/>
        </w:rPr>
        <w:t xml:space="preserve">Point outside UCL or LCL – Process out of control</w:t>
      </w:r>
    </w:p>
    <w:p>
      <w:pPr>
        <w:pStyle w:val="ListParagraph"/>
        <w:numPr>
          <w:ilvl w:val="0"/>
          <w:numId w:val="2"/>
        </w:numPr>
        <w:spacing w:after="60" w:before="60"/>
      </w:pPr>
      <w:r>
        <w:rPr>
          <w:sz w:val="22"/>
          <w:szCs w:val="22"/>
        </w:rPr>
        <w:t xml:space="preserve">7 or more consecutive points on one side of centre line – Shift in process mean</w:t>
      </w:r>
    </w:p>
    <w:p>
      <w:pPr>
        <w:pStyle w:val="ListParagraph"/>
        <w:numPr>
          <w:ilvl w:val="0"/>
          <w:numId w:val="2"/>
        </w:numPr>
        <w:spacing w:after="60" w:before="60"/>
      </w:pPr>
      <w:r>
        <w:rPr>
          <w:sz w:val="22"/>
          <w:szCs w:val="22"/>
        </w:rPr>
        <w:t xml:space="preserve">Trend of 7+ consecutive points going up or down – Process drift</w:t>
      </w:r>
    </w:p>
    <w:p>
      <w:pPr>
        <w:spacing w:after="60" w:before="60"/>
      </w:pPr>
      <w:r>
        <w:t xml:space="preserve"/>
      </w:r>
    </w:p>
    <w:p>
      <w:pPr>
        <w:pStyle w:val="Heading3"/>
      </w:pPr>
      <w:r>
        <w:rPr>
          <w:b/>
          <w:bCs/>
          <w:color w:val="2F5496"/>
          <w:sz w:val="24"/>
          <w:szCs w:val="24"/>
        </w:rPr>
        <w:t xml:space="preserve">Types of Control Charts: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5C8B" w:sz="1"/>
              <w:left w:val="single" w:color="1F5C8B" w:sz="1"/>
              <w:bottom w:val="single" w:color="1F5C8B" w:sz="1"/>
              <w:right w:val="single" w:color="1F5C8B" w:sz="1"/>
            </w:tcBorders>
            <w:shd w:fill="1F5C8B" w:val="clear"/>
            <w:tcMar>
              <w:top w:type="dxa" w:w="100"/>
              <w:left w:type="dxa" w:w="150"/>
              <w:bottom w:type="dxa" w:w="100"/>
              <w:right w:type="dxa" w:w="150"/>
            </w:tcMar>
          </w:tcPr>
          <w:p>
            <w:r>
              <w:rPr>
                <w:b/>
                <w:bCs/>
                <w:color w:val="FFFFFF"/>
                <w:sz w:val="22"/>
                <w:szCs w:val="22"/>
              </w:rPr>
              <w:t xml:space="preserve">Chart Type</w:t>
            </w:r>
          </w:p>
        </w:tc>
        <w:tc>
          <w:tcPr>
            <w:tcW w:type="dxa" w:w="5860"/>
            <w:tcBorders>
              <w:top w:val="single" w:color="1F5C8B" w:sz="1"/>
              <w:left w:val="single" w:color="1F5C8B" w:sz="1"/>
              <w:bottom w:val="single" w:color="1F5C8B" w:sz="1"/>
              <w:right w:val="single" w:color="1F5C8B" w:sz="1"/>
            </w:tcBorders>
            <w:shd w:fill="1F5C8B" w:val="clear"/>
            <w:tcMar>
              <w:top w:type="dxa" w:w="100"/>
              <w:left w:type="dxa" w:w="150"/>
              <w:bottom w:type="dxa" w:w="100"/>
              <w:right w:type="dxa" w:w="150"/>
            </w:tcMar>
          </w:tcPr>
          <w:p>
            <w:r>
              <w:rPr>
                <w:b/>
                <w:bCs/>
                <w:color w:val="FFFFFF"/>
                <w:sz w:val="22"/>
                <w:szCs w:val="22"/>
              </w:rPr>
              <w:t xml:space="preserve">Used For</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X-bar and R Chart</w:t>
            </w:r>
          </w:p>
        </w:tc>
        <w:tc>
          <w:tcPr>
            <w:tcW w:type="dxa" w:w="58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Variable data (mean and range)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p Chart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Proportion of defective items</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c Chart</w:t>
            </w:r>
          </w:p>
        </w:tc>
        <w:tc>
          <w:tcPr>
            <w:tcW w:type="dxa" w:w="58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Number of defects per unit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u Chart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Defects per unit with variable sample size</w:t>
            </w:r>
          </w:p>
        </w:tc>
      </w:tr>
    </w:tbl>
    <w:p>
      <w:pPr>
        <w:spacing w:after="60" w:before="60"/>
      </w:pPr>
      <w:r>
        <w:t xml:space="preserve"/>
      </w:r>
    </w:p>
    <w:p>
      <w:pPr>
        <w:pStyle w:val="Heading2"/>
      </w:pPr>
      <w:r>
        <w:rPr>
          <w:b/>
          <w:bCs/>
          <w:color w:val="2E75B6"/>
          <w:sz w:val="26"/>
          <w:szCs w:val="26"/>
        </w:rPr>
        <w:t xml:space="preserve">10.2 Pareto Chart</w:t>
      </w:r>
    </w:p>
    <w:p>
      <w:pPr>
        <w:spacing w:after="120" w:before="120"/>
      </w:pPr>
      <w:r>
        <w:rPr>
          <w:sz w:val="22"/>
          <w:szCs w:val="22"/>
        </w:rPr>
        <w:t xml:space="preserve">A Pareto Chart is a combination of a bar graph and a line graph used to identify the most significant factors in a dataset. It is based on the Pareto Principle (80/20 Rule): 80% of problems are caused by 20% of the causes. Named after Italian economist Vilfredo Pareto.</w:t>
      </w:r>
    </w:p>
    <w:p>
      <w:pPr>
        <w:spacing w:after="60" w:before="60"/>
      </w:pPr>
      <w:r>
        <w:t xml:space="preserve"/>
      </w:r>
    </w:p>
    <w:p>
      <w:pPr>
        <w:pStyle w:val="Heading3"/>
      </w:pPr>
      <w:r>
        <w:rPr>
          <w:b/>
          <w:bCs/>
          <w:color w:val="2F5496"/>
          <w:sz w:val="24"/>
          <w:szCs w:val="24"/>
        </w:rPr>
        <w:t xml:space="preserve">Structure of Pareto Chart:</w:t>
      </w:r>
    </w:p>
    <w:p>
      <w:pPr>
        <w:pStyle w:val="ListParagraph"/>
        <w:numPr>
          <w:ilvl w:val="0"/>
          <w:numId w:val="2"/>
        </w:numPr>
        <w:spacing w:after="60" w:before="60"/>
      </w:pPr>
      <w:r>
        <w:rPr>
          <w:sz w:val="22"/>
          <w:szCs w:val="22"/>
        </w:rPr>
        <w:t xml:space="preserve">Vertical bars: Each bar represents a category/cause, arranged in descending order of frequency</w:t>
      </w:r>
    </w:p>
    <w:p>
      <w:pPr>
        <w:pStyle w:val="ListParagraph"/>
        <w:numPr>
          <w:ilvl w:val="0"/>
          <w:numId w:val="2"/>
        </w:numPr>
        <w:spacing w:after="60" w:before="60"/>
      </w:pPr>
      <w:r>
        <w:rPr>
          <w:sz w:val="22"/>
          <w:szCs w:val="22"/>
        </w:rPr>
        <w:t xml:space="preserve">Left Y-axis: Frequency or count of occurrences</w:t>
      </w:r>
    </w:p>
    <w:p>
      <w:pPr>
        <w:pStyle w:val="ListParagraph"/>
        <w:numPr>
          <w:ilvl w:val="0"/>
          <w:numId w:val="2"/>
        </w:numPr>
        <w:spacing w:after="60" w:before="60"/>
      </w:pPr>
      <w:r>
        <w:rPr>
          <w:sz w:val="22"/>
          <w:szCs w:val="22"/>
        </w:rPr>
        <w:t xml:space="preserve">Right Y-axis: Cumulative percentage</w:t>
      </w:r>
    </w:p>
    <w:p>
      <w:pPr>
        <w:pStyle w:val="ListParagraph"/>
        <w:numPr>
          <w:ilvl w:val="0"/>
          <w:numId w:val="2"/>
        </w:numPr>
        <w:spacing w:after="60" w:before="60"/>
      </w:pPr>
      <w:r>
        <w:rPr>
          <w:sz w:val="22"/>
          <w:szCs w:val="22"/>
        </w:rPr>
        <w:t xml:space="preserve">Line graph: Shows cumulative percentage across categories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8B" w:sz="1"/>
              <w:left w:val="single" w:color="1F5C8B" w:sz="1"/>
              <w:bottom w:val="single" w:color="1F5C8B" w:sz="1"/>
              <w:right w:val="single" w:color="1F5C8B" w:sz="1"/>
            </w:tcBorders>
            <w:shd w:fill="1F5C8B" w:val="clear"/>
            <w:tcMar>
              <w:top w:type="dxa" w:w="100"/>
              <w:left w:type="dxa" w:w="200"/>
              <w:bottom w:type="dxa" w:w="10"/>
              <w:right w:type="dxa" w:w="200"/>
            </w:tcMar>
          </w:tcPr>
          <w:p>
            <w:pPr>
              <w:jc w:val="center"/>
            </w:pPr>
            <w:r>
              <w:rPr>
                <w:b/>
                <w:bCs/>
                <w:color w:val="FFFFFF"/>
                <w:sz w:val="22"/>
                <w:szCs w:val="22"/>
              </w:rPr>
              <w:t xml:space="preserve">Pareto Chart – Example (Defect Analysis)</w:t>
            </w:r>
          </w:p>
        </w:tc>
      </w:tr>
      <w:tr>
        <w:tc>
          <w:tcPr>
            <w:tcW w:type="dxa" w:w="9360"/>
            <w:tcBorders>
              <w:top w:val="single" w:color="CCCCCC" w:sz="1"/>
              <w:left w:val="single" w:color="CCCCCC" w:sz="1"/>
              <w:bottom w:val="single" w:color="CCCCCC" w:sz="1"/>
              <w:right w:val="single" w:color="CCCCCC" w:sz="1"/>
            </w:tcBorders>
            <w:shd w:fill="F9F9F9" w:val="clear"/>
            <w:tcMar>
              <w:top w:type="dxa" w:w="120"/>
              <w:left w:type="dxa" w:w="200"/>
              <w:bottom w:type="dxa" w:w="120"/>
              <w:right w:type="dxa" w:w="200"/>
            </w:tcMar>
          </w:tcPr>
          <w:p>
            <w:pPr>
              <w:jc w:val="center"/>
            </w:pPr>
            <w:r>
              <w:rPr>
                <w:i/>
                <w:iCs/>
                <w:sz w:val="18"/>
                <w:szCs w:val="18"/>
              </w:rPr>
              <w:t xml:space="preserve">Freq.</w:t>
            </w:r>
          </w:p>
          <w:p>
            <w:r>
              <w:rPr>
                <w:sz w:val="18"/>
                <w:szCs w:val="18"/>
              </w:rPr>
              <w:t xml:space="preserve">100 |█████                                                    100%</w:t>
            </w:r>
          </w:p>
          <w:p>
            <w:r>
              <w:rPr>
                <w:sz w:val="18"/>
                <w:szCs w:val="18"/>
              </w:rPr>
              <w:t xml:space="preserve"> 80 |████ ████                                                80%</w:t>
            </w:r>
          </w:p>
          <w:p>
            <w:r>
              <w:rPr>
                <w:sz w:val="18"/>
                <w:szCs w:val="18"/>
              </w:rPr>
              <w:t xml:space="preserve"> 60 |████ ████ ████                                           60%</w:t>
            </w:r>
          </w:p>
          <w:p>
            <w:r>
              <w:rPr>
                <w:sz w:val="18"/>
                <w:szCs w:val="18"/>
              </w:rPr>
              <w:t xml:space="preserve"> 40 |████ ████ ████ ████                                      40%</w:t>
            </w:r>
          </w:p>
          <w:p>
            <w:r>
              <w:rPr>
                <w:sz w:val="18"/>
                <w:szCs w:val="18"/>
              </w:rPr>
              <w:t xml:space="preserve"> 20 |████ ████ ████ ████ ████                                 20%</w:t>
            </w:r>
          </w:p>
          <w:p>
            <w:r>
              <w:rPr>
                <w:sz w:val="18"/>
                <w:szCs w:val="18"/>
              </w:rPr>
              <w:t xml:space="preserve">  0 +────────────────────────────────────→ Defect Category</w:t>
            </w:r>
          </w:p>
          <w:p>
            <w:r>
              <w:rPr>
                <w:i/>
                <w:iCs/>
                <w:sz w:val="18"/>
                <w:szCs w:val="18"/>
              </w:rPr>
              <w:t xml:space="preserve">      Scratch  Dent  Crack  Discolor  Other   (80% of defects from top 2)</w:t>
            </w:r>
          </w:p>
        </w:tc>
      </w:tr>
    </w:tbl>
    <w:p>
      <w:pPr>
        <w:spacing w:after="60" w:before="60"/>
      </w:pPr>
      <w:r>
        <w:t xml:space="preserve"/>
      </w:r>
    </w:p>
    <w:p>
      <w:pPr>
        <w:pStyle w:val="Heading3"/>
      </w:pPr>
      <w:r>
        <w:rPr>
          <w:b/>
          <w:bCs/>
          <w:color w:val="2F5496"/>
          <w:sz w:val="24"/>
          <w:szCs w:val="24"/>
        </w:rPr>
        <w:t xml:space="preserve">Steps to Create a Pareto Chart:</w:t>
      </w:r>
    </w:p>
    <w:p>
      <w:pPr>
        <w:pStyle w:val="ListParagraph"/>
        <w:numPr>
          <w:ilvl w:val="0"/>
          <w:numId w:val="3"/>
        </w:numPr>
        <w:spacing w:after="60" w:before="60"/>
      </w:pPr>
      <w:r>
        <w:rPr>
          <w:sz w:val="22"/>
          <w:szCs w:val="22"/>
        </w:rPr>
        <w:t xml:space="preserve">Collect data on the types and frequencies of problems</w:t>
      </w:r>
    </w:p>
    <w:p>
      <w:pPr>
        <w:pStyle w:val="ListParagraph"/>
        <w:numPr>
          <w:ilvl w:val="0"/>
          <w:numId w:val="3"/>
        </w:numPr>
        <w:spacing w:after="60" w:before="60"/>
      </w:pPr>
      <w:r>
        <w:rPr>
          <w:sz w:val="22"/>
          <w:szCs w:val="22"/>
        </w:rPr>
        <w:t xml:space="preserve">Arrange categories in descending order of frequency</w:t>
      </w:r>
    </w:p>
    <w:p>
      <w:pPr>
        <w:pStyle w:val="ListParagraph"/>
        <w:numPr>
          <w:ilvl w:val="0"/>
          <w:numId w:val="3"/>
        </w:numPr>
        <w:spacing w:after="60" w:before="60"/>
      </w:pPr>
      <w:r>
        <w:rPr>
          <w:sz w:val="22"/>
          <w:szCs w:val="22"/>
        </w:rPr>
        <w:t xml:space="preserve">Calculate cumulative percentages for each category</w:t>
      </w:r>
    </w:p>
    <w:p>
      <w:pPr>
        <w:pStyle w:val="ListParagraph"/>
        <w:numPr>
          <w:ilvl w:val="0"/>
          <w:numId w:val="3"/>
        </w:numPr>
        <w:spacing w:after="60" w:before="60"/>
      </w:pPr>
      <w:r>
        <w:rPr>
          <w:sz w:val="22"/>
          <w:szCs w:val="22"/>
        </w:rPr>
        <w:t xml:space="preserve">Draw bars in descending height order</w:t>
      </w:r>
    </w:p>
    <w:p>
      <w:pPr>
        <w:pStyle w:val="ListParagraph"/>
        <w:numPr>
          <w:ilvl w:val="0"/>
          <w:numId w:val="3"/>
        </w:numPr>
        <w:spacing w:after="60" w:before="60"/>
      </w:pPr>
      <w:r>
        <w:rPr>
          <w:sz w:val="22"/>
          <w:szCs w:val="22"/>
        </w:rPr>
        <w:t xml:space="preserve">Plot the cumulative percentage line</w:t>
      </w:r>
    </w:p>
    <w:p>
      <w:pPr>
        <w:pStyle w:val="ListParagraph"/>
        <w:numPr>
          <w:ilvl w:val="0"/>
          <w:numId w:val="3"/>
        </w:numPr>
        <w:spacing w:after="60" w:before="60"/>
      </w:pPr>
      <w:r>
        <w:rPr>
          <w:sz w:val="22"/>
          <w:szCs w:val="22"/>
        </w:rPr>
        <w:t xml:space="preserve">Identify the vital few causes (those making up ~80% of problems)</w:t>
      </w:r>
    </w:p>
    <w:p>
      <w:pPr>
        <w:spacing w:after="60" w:before="60"/>
      </w:pPr>
      <w:r>
        <w:t xml:space="preserve"/>
      </w:r>
    </w:p>
    <w:p>
      <w:r>
        <w:br w:type="page"/>
      </w:r>
    </w:p>
    <w:p>
      <w:pPr>
        <w:pStyle w:val="Heading1"/>
      </w:pPr>
      <w:r>
        <w:rPr>
          <w:b/>
          <w:bCs/>
          <w:color w:val="1F5C8B"/>
          <w:sz w:val="32"/>
          <w:szCs w:val="32"/>
        </w:rPr>
        <w:t xml:space="preserve">11. Corporate Social Responsibility (CSR)</w:t>
      </w:r>
    </w:p>
    <w:p>
      <w:pPr>
        <w:pStyle w:val="Heading2"/>
      </w:pPr>
      <w:r>
        <w:rPr>
          <w:b/>
          <w:bCs/>
          <w:color w:val="2E75B6"/>
          <w:sz w:val="26"/>
          <w:szCs w:val="26"/>
        </w:rPr>
        <w:t xml:space="preserve">11.1 Definition of CSR</w:t>
      </w:r>
    </w:p>
    <w:p>
      <w:pPr>
        <w:spacing w:after="120" w:before="120"/>
      </w:pPr>
      <w:r>
        <w:rPr>
          <w:sz w:val="22"/>
          <w:szCs w:val="22"/>
        </w:rPr>
        <w:t xml:space="preserve">Corporate Social Responsibility (CSR) is a self-regulating business model that helps a company be socially accountable to itself, its stakeholders, and the public. It means conducting business in an ethical way that considers its impact on society and the environment beyond mere profit-making.</w:t>
      </w:r>
    </w:p>
    <w:p>
      <w:pPr>
        <w:spacing w:after="60" w:before="60"/>
      </w:pPr>
      <w:r>
        <w:t xml:space="preserve"/>
      </w:r>
    </w:p>
    <w:p>
      <w:pPr>
        <w:spacing w:after="120" w:before="120"/>
      </w:pPr>
      <w:r>
        <w:rPr>
          <w:b/>
          <w:bCs/>
          <w:sz w:val="22"/>
          <w:szCs w:val="22"/>
        </w:rPr>
        <w:t xml:space="preserve">In India, Section 135 of the Companies Act, 2013 mandates CSR for companies with:</w:t>
      </w:r>
    </w:p>
    <w:p>
      <w:pPr>
        <w:pStyle w:val="ListParagraph"/>
        <w:numPr>
          <w:ilvl w:val="0"/>
          <w:numId w:val="2"/>
        </w:numPr>
        <w:spacing w:after="60" w:before="60"/>
      </w:pPr>
      <w:r>
        <w:rPr>
          <w:sz w:val="22"/>
          <w:szCs w:val="22"/>
        </w:rPr>
        <w:t xml:space="preserve">Net worth of Rs 500 crore or more, OR</w:t>
      </w:r>
    </w:p>
    <w:p>
      <w:pPr>
        <w:pStyle w:val="ListParagraph"/>
        <w:numPr>
          <w:ilvl w:val="0"/>
          <w:numId w:val="2"/>
        </w:numPr>
        <w:spacing w:after="60" w:before="60"/>
      </w:pPr>
      <w:r>
        <w:rPr>
          <w:sz w:val="22"/>
          <w:szCs w:val="22"/>
        </w:rPr>
        <w:t xml:space="preserve">Turnover of Rs 1000 crore or more, OR</w:t>
      </w:r>
    </w:p>
    <w:p>
      <w:pPr>
        <w:pStyle w:val="ListParagraph"/>
        <w:numPr>
          <w:ilvl w:val="0"/>
          <w:numId w:val="2"/>
        </w:numPr>
        <w:spacing w:after="60" w:before="60"/>
      </w:pPr>
      <w:r>
        <w:rPr>
          <w:sz w:val="22"/>
          <w:szCs w:val="22"/>
        </w:rPr>
        <w:t xml:space="preserve">Net profit of Rs 5 crore or more during the immediately preceding financial year</w:t>
      </w:r>
    </w:p>
    <w:p>
      <w:pPr>
        <w:spacing w:after="120" w:before="120"/>
      </w:pPr>
      <w:r>
        <w:rPr>
          <w:sz w:val="22"/>
          <w:szCs w:val="22"/>
        </w:rPr>
        <w:t xml:space="preserve">Such companies must spend at least 2% of their average net profit of the preceding 3 years on CSR activities.</w:t>
      </w:r>
    </w:p>
    <w:p>
      <w:pPr>
        <w:spacing w:after="60" w:before="60"/>
      </w:pPr>
      <w:r>
        <w:t xml:space="preserve"/>
      </w:r>
    </w:p>
    <w:p>
      <w:pPr>
        <w:pStyle w:val="Heading2"/>
      </w:pPr>
      <w:r>
        <w:rPr>
          <w:b/>
          <w:bCs/>
          <w:color w:val="2E75B6"/>
          <w:sz w:val="26"/>
          <w:szCs w:val="26"/>
        </w:rPr>
        <w:t xml:space="preserve">11.2 Two Examples of CSR in India</w:t>
      </w:r>
    </w:p>
    <w:p>
      <w:pPr>
        <w:pStyle w:val="Heading3"/>
      </w:pPr>
      <w:r>
        <w:rPr>
          <w:b/>
          <w:bCs/>
          <w:color w:val="2F5496"/>
          <w:sz w:val="24"/>
          <w:szCs w:val="24"/>
        </w:rPr>
        <w:t xml:space="preserve">Example 1: Tata Group</w:t>
      </w:r>
    </w:p>
    <w:p>
      <w:pPr>
        <w:spacing w:after="120" w:before="120"/>
      </w:pPr>
      <w:r>
        <w:rPr>
          <w:sz w:val="22"/>
          <w:szCs w:val="22"/>
        </w:rPr>
        <w:t xml:space="preserve">The Tata Group is one of India's most well-known examples of CSR. Key CSR initiatives include:</w:t>
      </w:r>
    </w:p>
    <w:p>
      <w:pPr>
        <w:pStyle w:val="ListParagraph"/>
        <w:numPr>
          <w:ilvl w:val="0"/>
          <w:numId w:val="2"/>
        </w:numPr>
        <w:spacing w:after="60" w:before="60"/>
      </w:pPr>
      <w:r>
        <w:rPr>
          <w:sz w:val="22"/>
          <w:szCs w:val="22"/>
        </w:rPr>
        <w:t xml:space="preserve">Tata Trusts: Runs hospitals, schools, and rural development programs</w:t>
      </w:r>
    </w:p>
    <w:p>
      <w:pPr>
        <w:pStyle w:val="ListParagraph"/>
        <w:numPr>
          <w:ilvl w:val="0"/>
          <w:numId w:val="2"/>
        </w:numPr>
        <w:spacing w:after="60" w:before="60"/>
      </w:pPr>
      <w:r>
        <w:rPr>
          <w:sz w:val="22"/>
          <w:szCs w:val="22"/>
        </w:rPr>
        <w:t xml:space="preserve">Literacy programs: Has educated millions through the Tata Literacy Mission</w:t>
      </w:r>
    </w:p>
    <w:p>
      <w:pPr>
        <w:pStyle w:val="ListParagraph"/>
        <w:numPr>
          <w:ilvl w:val="0"/>
          <w:numId w:val="2"/>
        </w:numPr>
        <w:spacing w:after="60" w:before="60"/>
      </w:pPr>
      <w:r>
        <w:rPr>
          <w:sz w:val="22"/>
          <w:szCs w:val="22"/>
        </w:rPr>
        <w:t xml:space="preserve">Environmental sustainability: Tata Power invests in renewable energy and afforestation</w:t>
      </w:r>
    </w:p>
    <w:p>
      <w:pPr>
        <w:pStyle w:val="ListParagraph"/>
        <w:numPr>
          <w:ilvl w:val="0"/>
          <w:numId w:val="2"/>
        </w:numPr>
        <w:spacing w:after="60" w:before="60"/>
      </w:pPr>
      <w:r>
        <w:rPr>
          <w:sz w:val="22"/>
          <w:szCs w:val="22"/>
        </w:rPr>
        <w:t xml:space="preserve">Water conservation: Tata Steel runs water harvesting projects in Jharkhand</w:t>
      </w:r>
    </w:p>
    <w:p>
      <w:pPr>
        <w:pStyle w:val="ListParagraph"/>
        <w:numPr>
          <w:ilvl w:val="0"/>
          <w:numId w:val="2"/>
        </w:numPr>
        <w:spacing w:after="60" w:before="60"/>
      </w:pPr>
      <w:r>
        <w:rPr>
          <w:sz w:val="22"/>
          <w:szCs w:val="22"/>
        </w:rPr>
        <w:t xml:space="preserve">Healthcare: Tata Memorial Hospital provides affordable cancer treatment</w:t>
      </w:r>
    </w:p>
    <w:p>
      <w:pPr>
        <w:spacing w:after="60" w:before="60"/>
      </w:pPr>
      <w:r>
        <w:t xml:space="preserve"/>
      </w:r>
    </w:p>
    <w:p>
      <w:pPr>
        <w:pStyle w:val="Heading3"/>
      </w:pPr>
      <w:r>
        <w:rPr>
          <w:b/>
          <w:bCs/>
          <w:color w:val="2F5496"/>
          <w:sz w:val="24"/>
          <w:szCs w:val="24"/>
        </w:rPr>
        <w:t xml:space="preserve">Example 2: Infosys Foundation</w:t>
      </w:r>
    </w:p>
    <w:p>
      <w:pPr>
        <w:spacing w:after="120" w:before="120"/>
      </w:pPr>
      <w:r>
        <w:rPr>
          <w:sz w:val="22"/>
          <w:szCs w:val="22"/>
        </w:rPr>
        <w:t xml:space="preserve">Infosys, through Infosys Foundation, has undertaken significant CSR activities:</w:t>
      </w:r>
    </w:p>
    <w:p>
      <w:pPr>
        <w:pStyle w:val="ListParagraph"/>
        <w:numPr>
          <w:ilvl w:val="0"/>
          <w:numId w:val="2"/>
        </w:numPr>
        <w:spacing w:after="60" w:before="60"/>
      </w:pPr>
      <w:r>
        <w:rPr>
          <w:sz w:val="22"/>
          <w:szCs w:val="22"/>
        </w:rPr>
        <w:t xml:space="preserve">Education: Building rural schools and libraries; scholarship programs for students</w:t>
      </w:r>
    </w:p>
    <w:p>
      <w:pPr>
        <w:pStyle w:val="ListParagraph"/>
        <w:numPr>
          <w:ilvl w:val="0"/>
          <w:numId w:val="2"/>
        </w:numPr>
        <w:spacing w:after="60" w:before="60"/>
      </w:pPr>
      <w:r>
        <w:rPr>
          <w:sz w:val="22"/>
          <w:szCs w:val="22"/>
        </w:rPr>
        <w:t xml:space="preserve">Healthcare: Setting up hospitals and mobile healthcare vans in rural Karnataka</w:t>
      </w:r>
    </w:p>
    <w:p>
      <w:pPr>
        <w:pStyle w:val="ListParagraph"/>
        <w:numPr>
          <w:ilvl w:val="0"/>
          <w:numId w:val="2"/>
        </w:numPr>
        <w:spacing w:after="60" w:before="60"/>
      </w:pPr>
      <w:r>
        <w:rPr>
          <w:sz w:val="22"/>
          <w:szCs w:val="22"/>
        </w:rPr>
        <w:t xml:space="preserve">Environmental conservation: Zero water discharge policy; massive tree plantation drives</w:t>
      </w:r>
    </w:p>
    <w:p>
      <w:pPr>
        <w:pStyle w:val="ListParagraph"/>
        <w:numPr>
          <w:ilvl w:val="0"/>
          <w:numId w:val="2"/>
        </w:numPr>
        <w:spacing w:after="60" w:before="60"/>
      </w:pPr>
      <w:r>
        <w:rPr>
          <w:sz w:val="22"/>
          <w:szCs w:val="22"/>
        </w:rPr>
        <w:t xml:space="preserve">Disaster relief: Contributed to Kerala floods, COVID-19 relief, Odisha cyclone victims</w:t>
      </w:r>
    </w:p>
    <w:p>
      <w:pPr>
        <w:pStyle w:val="ListParagraph"/>
        <w:numPr>
          <w:ilvl w:val="0"/>
          <w:numId w:val="2"/>
        </w:numPr>
        <w:spacing w:after="60" w:before="60"/>
      </w:pPr>
      <w:r>
        <w:rPr>
          <w:sz w:val="22"/>
          <w:szCs w:val="22"/>
        </w:rPr>
        <w:t xml:space="preserve">Destitute care: Running programs for homeless and destitute children</w:t>
      </w:r>
    </w:p>
    <w:p>
      <w:pPr>
        <w:spacing w:after="60" w:before="60"/>
      </w:pPr>
      <w:r>
        <w:t xml:space="preserve"/>
      </w:r>
    </w:p>
    <w:p>
      <w:r>
        <w:br w:type="page"/>
      </w:r>
    </w:p>
    <w:p>
      <w:pPr>
        <w:pStyle w:val="Heading1"/>
      </w:pPr>
      <w:r>
        <w:rPr>
          <w:b/>
          <w:bCs/>
          <w:color w:val="1F5C8B"/>
          <w:sz w:val="32"/>
          <w:szCs w:val="32"/>
        </w:rPr>
        <w:t xml:space="preserve">12. Benefits of CSR</w:t>
      </w:r>
    </w:p>
    <w:p>
      <w:pPr>
        <w:pStyle w:val="Heading2"/>
      </w:pPr>
      <w:r>
        <w:rPr>
          <w:b/>
          <w:bCs/>
          <w:color w:val="2E75B6"/>
          <w:sz w:val="26"/>
          <w:szCs w:val="26"/>
        </w:rPr>
        <w:t xml:space="preserve">12.1 Benefits to the Company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5C8B" w:sz="1"/>
              <w:left w:val="single" w:color="1F5C8B" w:sz="1"/>
              <w:bottom w:val="single" w:color="1F5C8B" w:sz="1"/>
              <w:right w:val="single" w:color="1F5C8B" w:sz="1"/>
            </w:tcBorders>
            <w:shd w:fill="1F5C8B" w:val="clear"/>
            <w:tcMar>
              <w:top w:type="dxa" w:w="100"/>
              <w:left w:type="dxa" w:w="150"/>
              <w:bottom w:type="dxa" w:w="100"/>
              <w:right w:type="dxa" w:w="150"/>
            </w:tcMar>
          </w:tcPr>
          <w:p>
            <w:r>
              <w:rPr>
                <w:b/>
                <w:bCs/>
                <w:color w:val="FFFFFF"/>
                <w:sz w:val="22"/>
                <w:szCs w:val="22"/>
              </w:rPr>
              <w:t xml:space="preserve">Benefit</w:t>
            </w:r>
          </w:p>
        </w:tc>
        <w:tc>
          <w:tcPr>
            <w:tcW w:type="dxa" w:w="6360"/>
            <w:tcBorders>
              <w:top w:val="single" w:color="1F5C8B" w:sz="1"/>
              <w:left w:val="single" w:color="1F5C8B" w:sz="1"/>
              <w:bottom w:val="single" w:color="1F5C8B" w:sz="1"/>
              <w:right w:val="single" w:color="1F5C8B" w:sz="1"/>
            </w:tcBorders>
            <w:shd w:fill="1F5C8B" w:val="clear"/>
            <w:tcMar>
              <w:top w:type="dxa" w:w="100"/>
              <w:left w:type="dxa" w:w="150"/>
              <w:bottom w:type="dxa" w:w="100"/>
              <w:right w:type="dxa" w:w="150"/>
            </w:tcMar>
          </w:tcPr>
          <w:p>
            <w:r>
              <w:rPr>
                <w:b/>
                <w:bCs/>
                <w:color w:val="FFFFFF"/>
                <w:sz w:val="22"/>
                <w:szCs w:val="22"/>
              </w:rPr>
              <w:t xml:space="preserve">Explanation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Enhanced Brand Image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CSR activities improve public perception and brand reputation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Customer Loyalty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Socially responsible companies attract and retain more customers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Employee Engagement</w:t>
            </w:r>
          </w:p>
        </w:tc>
        <w:tc>
          <w:tcPr>
            <w:tcW w:type="dxa" w:w="6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Employees feel proud working for a responsible company; reduces attrition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Investor Attraction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ESG (Environmental, Social, Governance) investors prefer CSR-active companies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Risk Reduction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Reduces regulatory and legal risks; avoids protests and boycotts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Innovation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CSR challenges drive innovation in sustainable products and processes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Competitive Advantage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Differentiates company from competitors in the marketplace</w:t>
            </w:r>
          </w:p>
        </w:tc>
      </w:tr>
    </w:tbl>
    <w:p>
      <w:pPr>
        <w:spacing w:after="60" w:before="60"/>
      </w:pPr>
      <w:r>
        <w:t xml:space="preserve"/>
      </w:r>
    </w:p>
    <w:p>
      <w:pPr>
        <w:pStyle w:val="Heading2"/>
      </w:pPr>
      <w:r>
        <w:rPr>
          <w:b/>
          <w:bCs/>
          <w:color w:val="2E75B6"/>
          <w:sz w:val="26"/>
          <w:szCs w:val="26"/>
        </w:rPr>
        <w:t xml:space="preserve">12.2 Benefits to Society and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F5C8B" w:sz="1"/>
              <w:left w:val="single" w:color="1F5C8B" w:sz="1"/>
              <w:bottom w:val="single" w:color="1F5C8B" w:sz="1"/>
              <w:right w:val="single" w:color="1F5C8B" w:sz="1"/>
            </w:tcBorders>
            <w:shd w:fill="1F5C8B" w:val="clear"/>
            <w:tcMar>
              <w:top w:type="dxa" w:w="100"/>
              <w:left w:type="dxa" w:w="150"/>
              <w:bottom w:type="dxa" w:w="100"/>
              <w:right w:type="dxa" w:w="150"/>
            </w:tcMar>
          </w:tcPr>
          <w:p>
            <w:r>
              <w:rPr>
                <w:b/>
                <w:bCs/>
                <w:color w:val="FFFFFF"/>
                <w:sz w:val="22"/>
                <w:szCs w:val="22"/>
              </w:rPr>
              <w:t xml:space="preserve">Area</w:t>
            </w:r>
          </w:p>
        </w:tc>
        <w:tc>
          <w:tcPr>
            <w:tcW w:type="dxa" w:w="6860"/>
            <w:tcBorders>
              <w:top w:val="single" w:color="1F5C8B" w:sz="1"/>
              <w:left w:val="single" w:color="1F5C8B" w:sz="1"/>
              <w:bottom w:val="single" w:color="1F5C8B" w:sz="1"/>
              <w:right w:val="single" w:color="1F5C8B" w:sz="1"/>
            </w:tcBorders>
            <w:shd w:fill="1F5C8B" w:val="clear"/>
            <w:tcMar>
              <w:top w:type="dxa" w:w="100"/>
              <w:left w:type="dxa" w:w="150"/>
              <w:bottom w:type="dxa" w:w="100"/>
              <w:right w:type="dxa" w:w="150"/>
            </w:tcMar>
          </w:tcPr>
          <w:p>
            <w:r>
              <w:rPr>
                <w:b/>
                <w:bCs/>
                <w:color w:val="FFFFFF"/>
                <w:sz w:val="22"/>
                <w:szCs w:val="22"/>
              </w:rPr>
              <w:t xml:space="preserve">Benefit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Education</w:t>
            </w:r>
          </w:p>
        </w:tc>
        <w:tc>
          <w:tcPr>
            <w:tcW w:type="dxa" w:w="68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Improved literacy rates, better schools and scholarships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Healthcare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Better access to medical facilities in rural areas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Environment</w:t>
            </w:r>
          </w:p>
        </w:tc>
        <w:tc>
          <w:tcPr>
            <w:tcW w:type="dxa" w:w="68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Reduced pollution, conservation of resources, afforestation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Women Empowerment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Skill development programs improve women's economic status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Rural Development</w:t>
            </w:r>
          </w:p>
        </w:tc>
        <w:tc>
          <w:tcPr>
            <w:tcW w:type="dxa" w:w="68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Infrastructure, employment, and livelihood in villages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Disaster Relief</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Quick response during natural disasters and emergencies</w:t>
            </w:r>
          </w:p>
        </w:tc>
      </w:tr>
    </w:tbl>
    <w:p>
      <w:pPr>
        <w:spacing w:after="60" w:before="60"/>
      </w:pPr>
      <w:r>
        <w:t xml:space="preserve"/>
      </w:r>
    </w:p>
    <w:p>
      <w:r>
        <w:br w:type="page"/>
      </w:r>
    </w:p>
    <w:p>
      <w:pPr>
        <w:pStyle w:val="Heading1"/>
      </w:pPr>
      <w:r>
        <w:rPr>
          <w:b/>
          <w:bCs/>
          <w:color w:val="1F5C8B"/>
          <w:sz w:val="32"/>
          <w:szCs w:val="32"/>
        </w:rPr>
        <w:t xml:space="preserve">13. Corporate Environment Responsibility (CER)</w:t>
      </w:r>
    </w:p>
    <w:p>
      <w:pPr>
        <w:spacing w:after="120" w:before="120"/>
      </w:pPr>
      <w:r>
        <w:rPr>
          <w:sz w:val="22"/>
          <w:szCs w:val="22"/>
        </w:rPr>
        <w:t xml:space="preserve">Corporate Environmental Responsibility (CER) is a component of Corporate Social Responsibility (CSR) that specifically focuses on an organization's obligations and voluntary commitments to protect and improve the natural environment. It refers to the responsible use of natural resources and minimizing environmental damage caused by business operations.</w:t>
      </w:r>
    </w:p>
    <w:p>
      <w:pPr>
        <w:spacing w:after="60" w:before="60"/>
      </w:pPr>
      <w:r>
        <w:t xml:space="preserve"/>
      </w:r>
    </w:p>
    <w:p>
      <w:pPr>
        <w:pStyle w:val="Heading2"/>
      </w:pPr>
      <w:r>
        <w:rPr>
          <w:b/>
          <w:bCs/>
          <w:color w:val="2E75B6"/>
          <w:sz w:val="26"/>
          <w:szCs w:val="26"/>
        </w:rPr>
        <w:t xml:space="preserve">13.1 Key Aspects of CER</w:t>
      </w:r>
    </w:p>
    <w:p>
      <w:pPr>
        <w:pStyle w:val="ListParagraph"/>
        <w:numPr>
          <w:ilvl w:val="0"/>
          <w:numId w:val="2"/>
        </w:numPr>
        <w:spacing w:after="60" w:before="60"/>
      </w:pPr>
      <w:r>
        <w:rPr>
          <w:sz w:val="22"/>
          <w:szCs w:val="22"/>
        </w:rPr>
        <w:t xml:space="preserve">Pollution Prevention: Reducing air, water, and soil pollution from industrial operations</w:t>
      </w:r>
    </w:p>
    <w:p>
      <w:pPr>
        <w:pStyle w:val="ListParagraph"/>
        <w:numPr>
          <w:ilvl w:val="0"/>
          <w:numId w:val="2"/>
        </w:numPr>
        <w:spacing w:after="60" w:before="60"/>
      </w:pPr>
      <w:r>
        <w:rPr>
          <w:sz w:val="22"/>
          <w:szCs w:val="22"/>
        </w:rPr>
        <w:t xml:space="preserve">Resource Efficiency: Efficient use of water, energy, and raw materials</w:t>
      </w:r>
    </w:p>
    <w:p>
      <w:pPr>
        <w:pStyle w:val="ListParagraph"/>
        <w:numPr>
          <w:ilvl w:val="0"/>
          <w:numId w:val="2"/>
        </w:numPr>
        <w:spacing w:after="60" w:before="60"/>
      </w:pPr>
      <w:r>
        <w:rPr>
          <w:sz w:val="22"/>
          <w:szCs w:val="22"/>
        </w:rPr>
        <w:t xml:space="preserve">Waste Management: Minimizing waste generation; adopting 3Rs (Reduce, Reuse, Recycle)</w:t>
      </w:r>
    </w:p>
    <w:p>
      <w:pPr>
        <w:pStyle w:val="ListParagraph"/>
        <w:numPr>
          <w:ilvl w:val="0"/>
          <w:numId w:val="2"/>
        </w:numPr>
        <w:spacing w:after="60" w:before="60"/>
      </w:pPr>
      <w:r>
        <w:rPr>
          <w:sz w:val="22"/>
          <w:szCs w:val="22"/>
        </w:rPr>
        <w:t xml:space="preserve">Green Supply Chain: Ensuring environmental standards are met by suppliers</w:t>
      </w:r>
    </w:p>
    <w:p>
      <w:pPr>
        <w:pStyle w:val="ListParagraph"/>
        <w:numPr>
          <w:ilvl w:val="0"/>
          <w:numId w:val="2"/>
        </w:numPr>
        <w:spacing w:after="60" w:before="60"/>
      </w:pPr>
      <w:r>
        <w:rPr>
          <w:sz w:val="22"/>
          <w:szCs w:val="22"/>
        </w:rPr>
        <w:t xml:space="preserve">Carbon Footprint Reduction: Using renewable energy; carbon neutrality goals</w:t>
      </w:r>
    </w:p>
    <w:p>
      <w:pPr>
        <w:pStyle w:val="ListParagraph"/>
        <w:numPr>
          <w:ilvl w:val="0"/>
          <w:numId w:val="2"/>
        </w:numPr>
        <w:spacing w:after="60" w:before="60"/>
      </w:pPr>
      <w:r>
        <w:rPr>
          <w:sz w:val="22"/>
          <w:szCs w:val="22"/>
        </w:rPr>
        <w:t xml:space="preserve">Biodiversity Conservation: Protecting ecosystems near operations</w:t>
      </w:r>
    </w:p>
    <w:p>
      <w:pPr>
        <w:pStyle w:val="ListParagraph"/>
        <w:numPr>
          <w:ilvl w:val="0"/>
          <w:numId w:val="2"/>
        </w:numPr>
        <w:spacing w:after="60" w:before="60"/>
      </w:pPr>
      <w:r>
        <w:rPr>
          <w:sz w:val="22"/>
          <w:szCs w:val="22"/>
        </w:rPr>
        <w:t xml:space="preserve">Environmental Reporting: Transparent disclosure of environmental performance (GRI standards)</w:t>
      </w:r>
    </w:p>
    <w:p>
      <w:pPr>
        <w:pStyle w:val="ListParagraph"/>
        <w:numPr>
          <w:ilvl w:val="0"/>
          <w:numId w:val="2"/>
        </w:numPr>
        <w:spacing w:after="60" w:before="60"/>
      </w:pPr>
      <w:r>
        <w:rPr>
          <w:sz w:val="22"/>
          <w:szCs w:val="22"/>
        </w:rPr>
        <w:t xml:space="preserve">Eco-Design: Designing products with minimal environmental impact over their life cycle</w:t>
      </w:r>
    </w:p>
    <w:p>
      <w:pPr>
        <w:spacing w:after="60" w:before="60"/>
      </w:pPr>
      <w:r>
        <w:t xml:space="preserve"/>
      </w:r>
    </w:p>
    <w:p>
      <w:pPr>
        <w:pStyle w:val="Heading2"/>
      </w:pPr>
      <w:r>
        <w:rPr>
          <w:b/>
          <w:bCs/>
          <w:color w:val="2E75B6"/>
          <w:sz w:val="26"/>
          <w:szCs w:val="26"/>
        </w:rPr>
        <w:t xml:space="preserve">13.2 Examples of CER Practices in India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F5C8B" w:sz="1"/>
              <w:left w:val="single" w:color="1F5C8B" w:sz="1"/>
              <w:bottom w:val="single" w:color="1F5C8B" w:sz="1"/>
              <w:right w:val="single" w:color="1F5C8B" w:sz="1"/>
            </w:tcBorders>
            <w:shd w:fill="1F5C8B" w:val="clear"/>
            <w:tcMar>
              <w:top w:type="dxa" w:w="100"/>
              <w:left w:type="dxa" w:w="150"/>
              <w:bottom w:type="dxa" w:w="100"/>
              <w:right w:type="dxa" w:w="150"/>
            </w:tcMar>
          </w:tcPr>
          <w:p>
            <w:r>
              <w:rPr>
                <w:b/>
                <w:bCs/>
                <w:color w:val="FFFFFF"/>
                <w:sz w:val="22"/>
                <w:szCs w:val="22"/>
              </w:rPr>
              <w:t xml:space="preserve">Company</w:t>
            </w:r>
          </w:p>
        </w:tc>
        <w:tc>
          <w:tcPr>
            <w:tcW w:type="dxa" w:w="6860"/>
            <w:tcBorders>
              <w:top w:val="single" w:color="1F5C8B" w:sz="1"/>
              <w:left w:val="single" w:color="1F5C8B" w:sz="1"/>
              <w:bottom w:val="single" w:color="1F5C8B" w:sz="1"/>
              <w:right w:val="single" w:color="1F5C8B" w:sz="1"/>
            </w:tcBorders>
            <w:shd w:fill="1F5C8B" w:val="clear"/>
            <w:tcMar>
              <w:top w:type="dxa" w:w="100"/>
              <w:left w:type="dxa" w:w="150"/>
              <w:bottom w:type="dxa" w:w="100"/>
              <w:right w:type="dxa" w:w="150"/>
            </w:tcMar>
          </w:tcPr>
          <w:p>
            <w:r>
              <w:rPr>
                <w:b/>
                <w:bCs/>
                <w:color w:val="FFFFFF"/>
                <w:sz w:val="22"/>
                <w:szCs w:val="22"/>
              </w:rPr>
              <w:t xml:space="preserve">CER Initiative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ITC Ltd.</w:t>
            </w:r>
          </w:p>
        </w:tc>
        <w:tc>
          <w:tcPr>
            <w:tcW w:type="dxa" w:w="68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Zero net carbon, water, and solid waste: ITC has been carbon positive, water positive, and solid waste recycling positive for years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Wipro</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Runs the 'Wipro EcoEnergy' program; achieved carbon neutrality for its offices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Mahindra Group</w:t>
            </w:r>
          </w:p>
        </w:tc>
        <w:tc>
          <w:tcPr>
            <w:tcW w:type="dxa" w:w="68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Planted 1 million trees; runs 'Project Hariyali' for green cover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Tata Chemicals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Zero liquid discharge at manufacturing plants; renewable energy use</w:t>
            </w:r>
          </w:p>
        </w:tc>
      </w:tr>
    </w:tbl>
    <w:p>
      <w:pPr>
        <w:spacing w:after="60" w:before="60"/>
      </w:pPr>
      <w:r>
        <w:t xml:space="preserve"/>
      </w:r>
    </w:p>
    <w:p>
      <w:pPr>
        <w:pStyle w:val="Heading2"/>
      </w:pPr>
      <w:r>
        <w:rPr>
          <w:b/>
          <w:bCs/>
          <w:color w:val="2E75B6"/>
          <w:sz w:val="26"/>
          <w:szCs w:val="26"/>
        </w:rPr>
        <w:t xml:space="preserve">13.3 CER vs CSR</w:t>
      </w:r>
    </w:p>
    <w:p>
      <w:pPr>
        <w:spacing w:after="120" w:before="120"/>
      </w:pPr>
      <w:r>
        <w:rPr>
          <w:sz w:val="22"/>
          <w:szCs w:val="22"/>
        </w:rPr>
        <w:t xml:space="preserve">CER is a sub-set of CSR. While CSR covers social, economic, and environmental responsibilities, CER specifically focuses on the environmental dimension. CER is becoming increasingly important with rising concerns about climate change, resource depletion, and environmental regulations.</w:t>
      </w:r>
    </w:p>
    <w:p>
      <w:pPr>
        <w:spacing w:after="60" w:before="60"/>
      </w:pPr>
      <w:r>
        <w:t xml:space="preserve"/>
      </w:r>
    </w:p>
    <w:p>
      <w:r>
        <w:br w:type="page"/>
      </w:r>
    </w:p>
    <w:p>
      <w:pPr>
        <w:pStyle w:val="Heading1"/>
      </w:pPr>
      <w:r>
        <w:rPr>
          <w:b/>
          <w:bCs/>
          <w:color w:val="1F5C8B"/>
          <w:sz w:val="32"/>
          <w:szCs w:val="32"/>
        </w:rPr>
        <w:t xml:space="preserve">14. Environmental Protection Act, 1986</w:t>
      </w:r>
    </w:p>
    <w:p>
      <w:pPr>
        <w:spacing w:after="120" w:before="120"/>
      </w:pPr>
      <w:r>
        <w:rPr>
          <w:sz w:val="22"/>
          <w:szCs w:val="22"/>
        </w:rPr>
        <w:t xml:space="preserve">The Environment (Protection) Act, 1986 was enacted by the Parliament of India in May 1986, following the Bhopal Gas Tragedy of 1984. It is an umbrella legislation providing a framework for the coordination of central and state authorities established under various environmental laws.</w:t>
      </w:r>
    </w:p>
    <w:p>
      <w:pPr>
        <w:spacing w:after="60" w:before="60"/>
      </w:pPr>
      <w:r>
        <w:t xml:space="preserve"/>
      </w:r>
    </w:p>
    <w:p>
      <w:pPr>
        <w:pStyle w:val="Heading2"/>
      </w:pPr>
      <w:r>
        <w:rPr>
          <w:b/>
          <w:bCs/>
          <w:color w:val="2E75B6"/>
          <w:sz w:val="26"/>
          <w:szCs w:val="26"/>
        </w:rPr>
        <w:t xml:space="preserve">14.1 Objectives</w:t>
      </w:r>
    </w:p>
    <w:p>
      <w:pPr>
        <w:pStyle w:val="ListParagraph"/>
        <w:numPr>
          <w:ilvl w:val="0"/>
          <w:numId w:val="2"/>
        </w:numPr>
        <w:spacing w:after="60" w:before="60"/>
      </w:pPr>
      <w:r>
        <w:rPr>
          <w:sz w:val="22"/>
          <w:szCs w:val="22"/>
        </w:rPr>
        <w:t xml:space="preserve">Protection and improvement of the environment</w:t>
      </w:r>
    </w:p>
    <w:p>
      <w:pPr>
        <w:pStyle w:val="ListParagraph"/>
        <w:numPr>
          <w:ilvl w:val="0"/>
          <w:numId w:val="2"/>
        </w:numPr>
        <w:spacing w:after="60" w:before="60"/>
      </w:pPr>
      <w:r>
        <w:rPr>
          <w:sz w:val="22"/>
          <w:szCs w:val="22"/>
        </w:rPr>
        <w:t xml:space="preserve">Prevention of hazards to human beings, animals, plants, and property</w:t>
      </w:r>
    </w:p>
    <w:p>
      <w:pPr>
        <w:pStyle w:val="ListParagraph"/>
        <w:numPr>
          <w:ilvl w:val="0"/>
          <w:numId w:val="2"/>
        </w:numPr>
        <w:spacing w:after="60" w:before="60"/>
      </w:pPr>
      <w:r>
        <w:rPr>
          <w:sz w:val="22"/>
          <w:szCs w:val="22"/>
        </w:rPr>
        <w:t xml:space="preserve">Carrying out the decisions made at the Stockholm Conference, 1972 (United Nations Conference on the Human Environment)</w:t>
      </w:r>
    </w:p>
    <w:p>
      <w:pPr>
        <w:spacing w:after="60" w:before="60"/>
      </w:pPr>
      <w:r>
        <w:t xml:space="preserve"/>
      </w:r>
    </w:p>
    <w:p>
      <w:pPr>
        <w:pStyle w:val="Heading2"/>
      </w:pPr>
      <w:r>
        <w:rPr>
          <w:b/>
          <w:bCs/>
          <w:color w:val="2E75B6"/>
          <w:sz w:val="26"/>
          <w:szCs w:val="26"/>
        </w:rPr>
        <w:t xml:space="preserve">14.2 Key Provisions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1F5C8B" w:sz="1"/>
              <w:left w:val="single" w:color="1F5C8B" w:sz="1"/>
              <w:bottom w:val="single" w:color="1F5C8B" w:sz="1"/>
              <w:right w:val="single" w:color="1F5C8B" w:sz="1"/>
            </w:tcBorders>
            <w:shd w:fill="1F5C8B" w:val="clear"/>
            <w:tcMar>
              <w:top w:type="dxa" w:w="100"/>
              <w:left w:type="dxa" w:w="150"/>
              <w:bottom w:type="dxa" w:w="100"/>
              <w:right w:type="dxa" w:w="150"/>
            </w:tcMar>
          </w:tcPr>
          <w:p>
            <w:r>
              <w:rPr>
                <w:b/>
                <w:bCs/>
                <w:color w:val="FFFFFF"/>
                <w:sz w:val="22"/>
                <w:szCs w:val="22"/>
              </w:rPr>
              <w:t xml:space="preserve">Section</w:t>
            </w:r>
          </w:p>
        </w:tc>
        <w:tc>
          <w:tcPr>
            <w:tcW w:type="dxa" w:w="8160"/>
            <w:tcBorders>
              <w:top w:val="single" w:color="1F5C8B" w:sz="1"/>
              <w:left w:val="single" w:color="1F5C8B" w:sz="1"/>
              <w:bottom w:val="single" w:color="1F5C8B" w:sz="1"/>
              <w:right w:val="single" w:color="1F5C8B" w:sz="1"/>
            </w:tcBorders>
            <w:shd w:fill="1F5C8B" w:val="clear"/>
            <w:tcMar>
              <w:top w:type="dxa" w:w="100"/>
              <w:left w:type="dxa" w:w="150"/>
              <w:bottom w:type="dxa" w:w="100"/>
              <w:right w:type="dxa" w:w="150"/>
            </w:tcMar>
          </w:tcPr>
          <w:p>
            <w:r>
              <w:rPr>
                <w:b/>
                <w:bCs/>
                <w:color w:val="FFFFFF"/>
                <w:sz w:val="22"/>
                <w:szCs w:val="22"/>
              </w:rPr>
              <w:t xml:space="preserve">Provision</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Sec. 3</w:t>
            </w:r>
          </w:p>
        </w:tc>
        <w:tc>
          <w:tcPr>
            <w:tcW w:type="dxa" w:w="8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Powers of Central Government to take measures for environment protection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Sec. 4</w:t>
            </w:r>
          </w:p>
        </w:tc>
        <w:tc>
          <w:tcPr>
            <w:tcW w:type="dxa" w:w="8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Appointment of officers and their powers</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Sec. 5</w:t>
            </w:r>
          </w:p>
        </w:tc>
        <w:tc>
          <w:tcPr>
            <w:tcW w:type="dxa" w:w="8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Power to issue directions to any industry or person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Sec. 7</w:t>
            </w:r>
          </w:p>
        </w:tc>
        <w:tc>
          <w:tcPr>
            <w:tcW w:type="dxa" w:w="8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Persons carrying on industry not to allow emission beyond standard limits</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Sec. 8</w:t>
            </w:r>
          </w:p>
        </w:tc>
        <w:tc>
          <w:tcPr>
            <w:tcW w:type="dxa" w:w="8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Persons handling hazardous substances to comply with prescribed procedures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Sec. 9</w:t>
            </w:r>
          </w:p>
        </w:tc>
        <w:tc>
          <w:tcPr>
            <w:tcW w:type="dxa" w:w="8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Obligation to furnish information; Prevention, Control of Pollution</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Sec. 15</w:t>
            </w:r>
          </w:p>
        </w:tc>
        <w:tc>
          <w:tcPr>
            <w:tcW w:type="dxa" w:w="8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Penalty: Imprisonment up to 5 years or fine up to Rs. 1 lakh or both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Sec. 19</w:t>
            </w:r>
          </w:p>
        </w:tc>
        <w:tc>
          <w:tcPr>
            <w:tcW w:type="dxa" w:w="8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Courts can take cognizance only on complaint by Central Government</w:t>
            </w:r>
          </w:p>
        </w:tc>
      </w:tr>
    </w:tbl>
    <w:p>
      <w:pPr>
        <w:spacing w:after="60" w:before="60"/>
      </w:pPr>
      <w:r>
        <w:t xml:space="preserve"/>
      </w:r>
    </w:p>
    <w:p>
      <w:pPr>
        <w:pStyle w:val="Heading2"/>
      </w:pPr>
      <w:r>
        <w:rPr>
          <w:b/>
          <w:bCs/>
          <w:color w:val="2E75B6"/>
          <w:sz w:val="26"/>
          <w:szCs w:val="26"/>
        </w:rPr>
        <w:t xml:space="preserve">14.3 Important Rules Framed Under EPA 1986</w:t>
      </w:r>
    </w:p>
    <w:p>
      <w:pPr>
        <w:pStyle w:val="ListParagraph"/>
        <w:numPr>
          <w:ilvl w:val="0"/>
          <w:numId w:val="2"/>
        </w:numPr>
        <w:spacing w:after="60" w:before="60"/>
      </w:pPr>
      <w:r>
        <w:rPr>
          <w:sz w:val="22"/>
          <w:szCs w:val="22"/>
        </w:rPr>
        <w:t xml:space="preserve">Hazardous Waste (Management, Handling and Transboundary Movement) Rules, 2008</w:t>
      </w:r>
    </w:p>
    <w:p>
      <w:pPr>
        <w:pStyle w:val="ListParagraph"/>
        <w:numPr>
          <w:ilvl w:val="0"/>
          <w:numId w:val="2"/>
        </w:numPr>
        <w:spacing w:after="60" w:before="60"/>
      </w:pPr>
      <w:r>
        <w:rPr>
          <w:sz w:val="22"/>
          <w:szCs w:val="22"/>
        </w:rPr>
        <w:t xml:space="preserve">Manufacture, Storage &amp; Import of Hazardous Chemicals Rules, 1989</w:t>
      </w:r>
    </w:p>
    <w:p>
      <w:pPr>
        <w:pStyle w:val="ListParagraph"/>
        <w:numPr>
          <w:ilvl w:val="0"/>
          <w:numId w:val="2"/>
        </w:numPr>
        <w:spacing w:after="60" w:before="60"/>
      </w:pPr>
      <w:r>
        <w:rPr>
          <w:sz w:val="22"/>
          <w:szCs w:val="22"/>
        </w:rPr>
        <w:t xml:space="preserve">Environmental Impact Assessment (EIA) Notification, 2006</w:t>
      </w:r>
    </w:p>
    <w:p>
      <w:pPr>
        <w:pStyle w:val="ListParagraph"/>
        <w:numPr>
          <w:ilvl w:val="0"/>
          <w:numId w:val="2"/>
        </w:numPr>
        <w:spacing w:after="60" w:before="60"/>
      </w:pPr>
      <w:r>
        <w:rPr>
          <w:sz w:val="22"/>
          <w:szCs w:val="22"/>
        </w:rPr>
        <w:t xml:space="preserve">Coastal Regulation Zone (CRZ) Notification, 2011</w:t>
      </w:r>
    </w:p>
    <w:p>
      <w:pPr>
        <w:pStyle w:val="ListParagraph"/>
        <w:numPr>
          <w:ilvl w:val="0"/>
          <w:numId w:val="2"/>
        </w:numPr>
        <w:spacing w:after="60" w:before="60"/>
      </w:pPr>
      <w:r>
        <w:rPr>
          <w:sz w:val="22"/>
          <w:szCs w:val="22"/>
        </w:rPr>
        <w:t xml:space="preserve">Solid Waste Management Rules, 2016</w:t>
      </w:r>
    </w:p>
    <w:p>
      <w:pPr>
        <w:pStyle w:val="ListParagraph"/>
        <w:numPr>
          <w:ilvl w:val="0"/>
          <w:numId w:val="2"/>
        </w:numPr>
        <w:spacing w:after="60" w:before="60"/>
      </w:pPr>
      <w:r>
        <w:rPr>
          <w:sz w:val="22"/>
          <w:szCs w:val="22"/>
        </w:rPr>
        <w:t xml:space="preserve">Plastic Waste Management Rules, 2016</w:t>
      </w:r>
    </w:p>
    <w:p>
      <w:pPr>
        <w:pStyle w:val="ListParagraph"/>
        <w:numPr>
          <w:ilvl w:val="0"/>
          <w:numId w:val="2"/>
        </w:numPr>
        <w:spacing w:after="60" w:before="60"/>
      </w:pPr>
      <w:r>
        <w:rPr>
          <w:sz w:val="22"/>
          <w:szCs w:val="22"/>
        </w:rPr>
        <w:t xml:space="preserve">Bio-Medical Waste Management Rules, 2016</w:t>
      </w:r>
    </w:p>
    <w:p>
      <w:pPr>
        <w:spacing w:after="60" w:before="60"/>
      </w:pPr>
      <w:r>
        <w:t xml:space="preserve"/>
      </w:r>
    </w:p>
    <w:p>
      <w:r>
        <w:br w:type="page"/>
      </w:r>
    </w:p>
    <w:p>
      <w:pPr>
        <w:pStyle w:val="Heading1"/>
      </w:pPr>
      <w:r>
        <w:rPr>
          <w:b/>
          <w:bCs/>
          <w:color w:val="1F5C8B"/>
          <w:sz w:val="32"/>
          <w:szCs w:val="32"/>
        </w:rPr>
        <w:t xml:space="preserve">15. Wildlife Protection Act, 1972</w:t>
      </w:r>
    </w:p>
    <w:p>
      <w:pPr>
        <w:spacing w:after="120" w:before="120"/>
      </w:pPr>
      <w:r>
        <w:rPr>
          <w:sz w:val="22"/>
          <w:szCs w:val="22"/>
        </w:rPr>
        <w:t xml:space="preserve">The Wildlife (Protection) Act, 1972 is a comprehensive legislation enacted by the Parliament of India for the protection of wild animals, birds, and plants. It establishes a network of protected areas and provides for the regulation of hunting and trade in wildlife products.</w:t>
      </w:r>
    </w:p>
    <w:p>
      <w:pPr>
        <w:spacing w:after="60" w:before="60"/>
      </w:pPr>
      <w:r>
        <w:t xml:space="preserve"/>
      </w:r>
    </w:p>
    <w:p>
      <w:pPr>
        <w:pStyle w:val="Heading2"/>
      </w:pPr>
      <w:r>
        <w:rPr>
          <w:b/>
          <w:bCs/>
          <w:color w:val="2E75B6"/>
          <w:sz w:val="26"/>
          <w:szCs w:val="26"/>
        </w:rPr>
        <w:t xml:space="preserve">15.1 Objectives</w:t>
      </w:r>
    </w:p>
    <w:p>
      <w:pPr>
        <w:pStyle w:val="ListParagraph"/>
        <w:numPr>
          <w:ilvl w:val="0"/>
          <w:numId w:val="2"/>
        </w:numPr>
        <w:spacing w:after="60" w:before="60"/>
      </w:pPr>
      <w:r>
        <w:rPr>
          <w:sz w:val="22"/>
          <w:szCs w:val="22"/>
        </w:rPr>
        <w:t xml:space="preserve">To provide for protection of wild animals, birds, and plants</w:t>
      </w:r>
    </w:p>
    <w:p>
      <w:pPr>
        <w:pStyle w:val="ListParagraph"/>
        <w:numPr>
          <w:ilvl w:val="0"/>
          <w:numId w:val="2"/>
        </w:numPr>
        <w:spacing w:after="60" w:before="60"/>
      </w:pPr>
      <w:r>
        <w:rPr>
          <w:sz w:val="22"/>
          <w:szCs w:val="22"/>
        </w:rPr>
        <w:t xml:space="preserve">To regulate hunting and prevent illegal trade in wildlife</w:t>
      </w:r>
    </w:p>
    <w:p>
      <w:pPr>
        <w:pStyle w:val="ListParagraph"/>
        <w:numPr>
          <w:ilvl w:val="0"/>
          <w:numId w:val="2"/>
        </w:numPr>
        <w:spacing w:after="60" w:before="60"/>
      </w:pPr>
      <w:r>
        <w:rPr>
          <w:sz w:val="22"/>
          <w:szCs w:val="22"/>
        </w:rPr>
        <w:t xml:space="preserve">To establish National Parks, Wildlife Sanctuaries, and Conservation Reserves</w:t>
      </w:r>
    </w:p>
    <w:p>
      <w:pPr>
        <w:pStyle w:val="ListParagraph"/>
        <w:numPr>
          <w:ilvl w:val="0"/>
          <w:numId w:val="2"/>
        </w:numPr>
        <w:spacing w:after="60" w:before="60"/>
      </w:pPr>
      <w:r>
        <w:rPr>
          <w:sz w:val="22"/>
          <w:szCs w:val="22"/>
        </w:rPr>
        <w:t xml:space="preserve">To restrict activities that are harmful to wildlife habitats</w:t>
      </w:r>
    </w:p>
    <w:p>
      <w:pPr>
        <w:pStyle w:val="ListParagraph"/>
        <w:numPr>
          <w:ilvl w:val="0"/>
          <w:numId w:val="2"/>
        </w:numPr>
        <w:spacing w:after="60" w:before="60"/>
      </w:pPr>
      <w:r>
        <w:rPr>
          <w:sz w:val="22"/>
          <w:szCs w:val="22"/>
        </w:rPr>
        <w:t xml:space="preserve">To prevent illegal trade in wildlife and wildlife products</w:t>
      </w:r>
    </w:p>
    <w:p>
      <w:pPr>
        <w:spacing w:after="60" w:before="60"/>
      </w:pPr>
      <w:r>
        <w:t xml:space="preserve"/>
      </w:r>
    </w:p>
    <w:p>
      <w:pPr>
        <w:pStyle w:val="Heading2"/>
      </w:pPr>
      <w:r>
        <w:rPr>
          <w:b/>
          <w:bCs/>
          <w:color w:val="2E75B6"/>
          <w:sz w:val="26"/>
          <w:szCs w:val="26"/>
        </w:rPr>
        <w:t xml:space="preserve">15.2 Key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5C8B" w:sz="1"/>
              <w:left w:val="single" w:color="1F5C8B" w:sz="1"/>
              <w:bottom w:val="single" w:color="1F5C8B" w:sz="1"/>
              <w:right w:val="single" w:color="1F5C8B" w:sz="1"/>
            </w:tcBorders>
            <w:shd w:fill="1F5C8B" w:val="clear"/>
            <w:tcMar>
              <w:top w:type="dxa" w:w="100"/>
              <w:left w:type="dxa" w:w="150"/>
              <w:bottom w:type="dxa" w:w="100"/>
              <w:right w:type="dxa" w:w="150"/>
            </w:tcMar>
          </w:tcPr>
          <w:p>
            <w:r>
              <w:rPr>
                <w:b/>
                <w:bCs/>
                <w:color w:val="FFFFFF"/>
                <w:sz w:val="22"/>
                <w:szCs w:val="22"/>
              </w:rPr>
              <w:t xml:space="preserve">Provision</w:t>
            </w:r>
          </w:p>
        </w:tc>
        <w:tc>
          <w:tcPr>
            <w:tcW w:type="dxa" w:w="6360"/>
            <w:tcBorders>
              <w:top w:val="single" w:color="1F5C8B" w:sz="1"/>
              <w:left w:val="single" w:color="1F5C8B" w:sz="1"/>
              <w:bottom w:val="single" w:color="1F5C8B" w:sz="1"/>
              <w:right w:val="single" w:color="1F5C8B" w:sz="1"/>
            </w:tcBorders>
            <w:shd w:fill="1F5C8B" w:val="clear"/>
            <w:tcMar>
              <w:top w:type="dxa" w:w="100"/>
              <w:left w:type="dxa" w:w="150"/>
              <w:bottom w:type="dxa" w:w="100"/>
              <w:right w:type="dxa" w:w="150"/>
            </w:tcMar>
          </w:tcPr>
          <w:p>
            <w:r>
              <w:rPr>
                <w:b/>
                <w:bCs/>
                <w:color w:val="FFFFFF"/>
                <w:sz w:val="22"/>
                <w:szCs w:val="22"/>
              </w:rPr>
              <w:t xml:space="preserve">Details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Protected Areas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National Parks, Wildlife Sanctuaries, Conservation Reserves, Community Reserves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Schedules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6 schedules listing protected plants and animals with varying degrees of protection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Schedule I &amp; II</w:t>
            </w:r>
          </w:p>
        </w:tc>
        <w:tc>
          <w:tcPr>
            <w:tcW w:type="dxa" w:w="6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Absolute protection – highest penalties for violations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Schedule III &amp; IV</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Protected but penalties are lower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Schedule V</w:t>
            </w:r>
          </w:p>
        </w:tc>
        <w:tc>
          <w:tcPr>
            <w:tcW w:type="dxa" w:w="6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Animals that can be hunted (pests)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Schedule VI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Protected plants – prohibited from cultivation and trade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Wildlife Crime Control Bureau (WCCB)</w:t>
            </w:r>
          </w:p>
        </w:tc>
        <w:tc>
          <w:tcPr>
            <w:tcW w:type="dxa" w:w="6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Central agency for enforcement of wildlife crimes</w:t>
            </w:r>
          </w:p>
        </w:tc>
      </w:tr>
    </w:tbl>
    <w:p>
      <w:pPr>
        <w:spacing w:after="60" w:before="60"/>
      </w:pPr>
      <w:r>
        <w:t xml:space="preserve"/>
      </w:r>
    </w:p>
    <w:p>
      <w:pPr>
        <w:pStyle w:val="Heading2"/>
      </w:pPr>
      <w:r>
        <w:rPr>
          <w:b/>
          <w:bCs/>
          <w:color w:val="2E75B6"/>
          <w:sz w:val="26"/>
          <w:szCs w:val="26"/>
        </w:rPr>
        <w:t xml:space="preserve">15.3 Prohibited Activities Under the Act</w:t>
      </w:r>
    </w:p>
    <w:p>
      <w:pPr>
        <w:pStyle w:val="ListParagraph"/>
        <w:numPr>
          <w:ilvl w:val="0"/>
          <w:numId w:val="2"/>
        </w:numPr>
        <w:spacing w:after="60" w:before="60"/>
      </w:pPr>
      <w:r>
        <w:rPr>
          <w:sz w:val="22"/>
          <w:szCs w:val="22"/>
        </w:rPr>
        <w:t xml:space="preserve">Hunting of wild animals (without special permission)</w:t>
      </w:r>
    </w:p>
    <w:p>
      <w:pPr>
        <w:pStyle w:val="ListParagraph"/>
        <w:numPr>
          <w:ilvl w:val="0"/>
          <w:numId w:val="2"/>
        </w:numPr>
        <w:spacing w:after="60" w:before="60"/>
      </w:pPr>
      <w:r>
        <w:rPr>
          <w:sz w:val="22"/>
          <w:szCs w:val="22"/>
        </w:rPr>
        <w:t xml:space="preserve">Altering boundaries of protected areas without prior approval</w:t>
      </w:r>
    </w:p>
    <w:p>
      <w:pPr>
        <w:pStyle w:val="ListParagraph"/>
        <w:numPr>
          <w:ilvl w:val="0"/>
          <w:numId w:val="2"/>
        </w:numPr>
        <w:spacing w:after="60" w:before="60"/>
      </w:pPr>
      <w:r>
        <w:rPr>
          <w:sz w:val="22"/>
          <w:szCs w:val="22"/>
        </w:rPr>
        <w:t xml:space="preserve">Trade or commerce in wildlife products</w:t>
      </w:r>
    </w:p>
    <w:p>
      <w:pPr>
        <w:pStyle w:val="ListParagraph"/>
        <w:numPr>
          <w:ilvl w:val="0"/>
          <w:numId w:val="2"/>
        </w:numPr>
        <w:spacing w:after="60" w:before="60"/>
      </w:pPr>
      <w:r>
        <w:rPr>
          <w:sz w:val="22"/>
          <w:szCs w:val="22"/>
        </w:rPr>
        <w:t xml:space="preserve">Destruction of habitats within protected areas</w:t>
      </w:r>
    </w:p>
    <w:p>
      <w:pPr>
        <w:pStyle w:val="ListParagraph"/>
        <w:numPr>
          <w:ilvl w:val="0"/>
          <w:numId w:val="2"/>
        </w:numPr>
        <w:spacing w:after="60" w:before="60"/>
      </w:pPr>
      <w:r>
        <w:rPr>
          <w:sz w:val="22"/>
          <w:szCs w:val="22"/>
        </w:rPr>
        <w:t xml:space="preserve">Poisoning water in wildlife areas</w:t>
      </w:r>
    </w:p>
    <w:p>
      <w:pPr>
        <w:pStyle w:val="ListParagraph"/>
        <w:numPr>
          <w:ilvl w:val="0"/>
          <w:numId w:val="2"/>
        </w:numPr>
        <w:spacing w:after="60" w:before="60"/>
      </w:pPr>
      <w:r>
        <w:rPr>
          <w:sz w:val="22"/>
          <w:szCs w:val="22"/>
        </w:rPr>
        <w:t xml:space="preserve">Using traps, poisons, or electric currents to capture or kill wildlife</w:t>
      </w:r>
    </w:p>
    <w:p>
      <w:pPr>
        <w:spacing w:after="60" w:before="60"/>
      </w:pPr>
      <w:r>
        <w:t xml:space="preserve"/>
      </w:r>
    </w:p>
    <w:p>
      <w:pPr>
        <w:pStyle w:val="Heading2"/>
      </w:pPr>
      <w:r>
        <w:rPr>
          <w:b/>
          <w:bCs/>
          <w:color w:val="2E75B6"/>
          <w:sz w:val="26"/>
          <w:szCs w:val="26"/>
        </w:rPr>
        <w:t xml:space="preserve">15.4 Penalties</w:t>
      </w:r>
    </w:p>
    <w:p>
      <w:pPr>
        <w:spacing w:after="120" w:before="120"/>
      </w:pPr>
      <w:r>
        <w:rPr>
          <w:sz w:val="22"/>
          <w:szCs w:val="22"/>
        </w:rPr>
        <w:t xml:space="preserve">Violation of the Act attracts imprisonment up to 3 years and/or a fine up to Rs. 25,000. For offences related to Schedule I animals (like tigers, elephants), punishment is imprisonment of 3-7 years with fine not less than Rs. 10,000.</w:t>
      </w:r>
    </w:p>
    <w:p>
      <w:pPr>
        <w:spacing w:after="60" w:before="60"/>
      </w:pPr>
      <w:r>
        <w:t xml:space="preserve"/>
      </w:r>
    </w:p>
    <w:p>
      <w:r>
        <w:br w:type="page"/>
      </w:r>
    </w:p>
    <w:p>
      <w:pPr>
        <w:pStyle w:val="Heading1"/>
      </w:pPr>
      <w:r>
        <w:rPr>
          <w:b/>
          <w:bCs/>
          <w:color w:val="1F5C8B"/>
          <w:sz w:val="32"/>
          <w:szCs w:val="32"/>
        </w:rPr>
        <w:t xml:space="preserve">16. Ecological Pyramid – Diagram</w:t>
      </w:r>
    </w:p>
    <w:p>
      <w:pPr>
        <w:spacing w:after="120" w:before="120"/>
      </w:pPr>
      <w:r>
        <w:rPr>
          <w:sz w:val="22"/>
          <w:szCs w:val="22"/>
        </w:rPr>
        <w:t xml:space="preserve">(Refer to the detailed Ecological Pyramid in Question 2 above. The diagram below is a supplementary view with energy values.)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100"/>
        <w:gridCol w:w="1760"/>
      </w:tblGrid>
      <w:tr>
        <w:trPr>
          <w:tblHeader/>
        </w:trPr>
        <w:tc>
          <w:tcPr>
            <w:tcW w:type="dxa" w:w="3000"/>
            <w:tcBorders>
              <w:top w:val="single" w:color="1F5C8B" w:sz="1"/>
              <w:left w:val="single" w:color="1F5C8B" w:sz="1"/>
              <w:bottom w:val="single" w:color="1F5C8B" w:sz="1"/>
              <w:right w:val="single" w:color="1F5C8B" w:sz="1"/>
            </w:tcBorders>
            <w:shd w:fill="1F5C8B" w:val="clear"/>
            <w:tcMar>
              <w:top w:type="dxa" w:w="100"/>
              <w:left w:type="dxa" w:w="150"/>
              <w:bottom w:type="dxa" w:w="100"/>
              <w:right w:type="dxa" w:w="150"/>
            </w:tcMar>
          </w:tcPr>
          <w:p>
            <w:r>
              <w:rPr>
                <w:b/>
                <w:bCs/>
                <w:color w:val="FFFFFF"/>
                <w:sz w:val="22"/>
                <w:szCs w:val="22"/>
              </w:rPr>
              <w:t xml:space="preserve">Trophic Level</w:t>
            </w:r>
          </w:p>
        </w:tc>
        <w:tc>
          <w:tcPr>
            <w:tcW w:type="dxa" w:w="2500"/>
            <w:tcBorders>
              <w:top w:val="single" w:color="1F5C8B" w:sz="1"/>
              <w:left w:val="single" w:color="1F5C8B" w:sz="1"/>
              <w:bottom w:val="single" w:color="1F5C8B" w:sz="1"/>
              <w:right w:val="single" w:color="1F5C8B" w:sz="1"/>
            </w:tcBorders>
            <w:shd w:fill="1F5C8B" w:val="clear"/>
            <w:tcMar>
              <w:top w:type="dxa" w:w="100"/>
              <w:left w:type="dxa" w:w="150"/>
              <w:bottom w:type="dxa" w:w="100"/>
              <w:right w:type="dxa" w:w="150"/>
            </w:tcMar>
          </w:tcPr>
          <w:p>
            <w:r>
              <w:rPr>
                <w:b/>
                <w:bCs/>
                <w:color w:val="FFFFFF"/>
                <w:sz w:val="22"/>
                <w:szCs w:val="22"/>
              </w:rPr>
              <w:t xml:space="preserve">Organisms</w:t>
            </w:r>
          </w:p>
        </w:tc>
        <w:tc>
          <w:tcPr>
            <w:tcW w:type="dxa" w:w="2100"/>
            <w:tcBorders>
              <w:top w:val="single" w:color="1F5C8B" w:sz="1"/>
              <w:left w:val="single" w:color="1F5C8B" w:sz="1"/>
              <w:bottom w:val="single" w:color="1F5C8B" w:sz="1"/>
              <w:right w:val="single" w:color="1F5C8B" w:sz="1"/>
            </w:tcBorders>
            <w:shd w:fill="1F5C8B" w:val="clear"/>
            <w:tcMar>
              <w:top w:type="dxa" w:w="100"/>
              <w:left w:type="dxa" w:w="150"/>
              <w:bottom w:type="dxa" w:w="100"/>
              <w:right w:type="dxa" w:w="150"/>
            </w:tcMar>
          </w:tcPr>
          <w:p>
            <w:r>
              <w:rPr>
                <w:b/>
                <w:bCs/>
                <w:color w:val="FFFFFF"/>
                <w:sz w:val="22"/>
                <w:szCs w:val="22"/>
              </w:rPr>
              <w:t xml:space="preserve">Energy Available</w:t>
            </w:r>
          </w:p>
        </w:tc>
        <w:tc>
          <w:tcPr>
            <w:tcW w:type="dxa" w:w="1760"/>
            <w:tcBorders>
              <w:top w:val="single" w:color="1F5C8B" w:sz="1"/>
              <w:left w:val="single" w:color="1F5C8B" w:sz="1"/>
              <w:bottom w:val="single" w:color="1F5C8B" w:sz="1"/>
              <w:right w:val="single" w:color="1F5C8B" w:sz="1"/>
            </w:tcBorders>
            <w:shd w:fill="1F5C8B" w:val="clear"/>
            <w:tcMar>
              <w:top w:type="dxa" w:w="100"/>
              <w:left w:type="dxa" w:w="150"/>
              <w:bottom w:type="dxa" w:w="100"/>
              <w:right w:type="dxa" w:w="150"/>
            </w:tcMar>
          </w:tcPr>
          <w:p>
            <w:r>
              <w:rPr>
                <w:b/>
                <w:bCs/>
                <w:color w:val="FFFFFF"/>
                <w:sz w:val="22"/>
                <w:szCs w:val="22"/>
              </w:rPr>
              <w:t xml:space="preserve">Biomass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4th – Tertiary Consumers</w:t>
            </w:r>
          </w:p>
        </w:tc>
        <w:tc>
          <w:tcPr>
            <w:tcW w:type="dxa" w:w="2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Eagle, Large Sharks, Lions</w:t>
            </w:r>
          </w:p>
        </w:tc>
        <w:tc>
          <w:tcPr>
            <w:tcW w:type="dxa" w:w="21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1 kcal / m² / year</w:t>
            </w:r>
          </w:p>
        </w:tc>
        <w:tc>
          <w:tcPr>
            <w:tcW w:type="dxa" w:w="17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Minimum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3rd – Secondary Consumers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Frogs, Small Fish, Foxes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10 kcal / m² / year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Very Low</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2nd – Primary Consumers (Herbivores)</w:t>
            </w:r>
          </w:p>
        </w:tc>
        <w:tc>
          <w:tcPr>
            <w:tcW w:type="dxa" w:w="2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Deer, Grasshopper, Rabbit</w:t>
            </w:r>
          </w:p>
        </w:tc>
        <w:tc>
          <w:tcPr>
            <w:tcW w:type="dxa" w:w="21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100 kcal / m² / year</w:t>
            </w:r>
          </w:p>
        </w:tc>
        <w:tc>
          <w:tcPr>
            <w:tcW w:type="dxa" w:w="17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Low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1st – Producers (Plants)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Grass, Trees, Algae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1000 kcal / m² / year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Maximum</w:t>
            </w:r>
          </w:p>
        </w:tc>
      </w:tr>
    </w:tbl>
    <w:p>
      <w:pPr>
        <w:spacing w:after="60" w:before="60"/>
      </w:pPr>
      <w:r>
        <w:t xml:space="preserve"/>
      </w:r>
    </w:p>
    <w:p>
      <w:pPr>
        <w:spacing w:after="120" w:before="120"/>
      </w:pPr>
      <w:r>
        <w:rPr>
          <w:b w:val="false"/>
          <w:bCs w:val="false"/>
          <w:sz w:val="22"/>
          <w:szCs w:val="22"/>
        </w:rPr>
        <w:t xml:space="preserve">The 10% Law (Lindemann's Law): Only 10% of energy is transferred to the next trophic level. 90% is lost through respiration, excretion, and heat. This is why the pyramid is always narrower at the top.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tcMar>
              <w:top w:type="dxa" w:w="0"/>
              <w:left w:type="dxa" w:w="0"/>
              <w:bottom w:type="dxa" w:w="0"/>
              <w:right w:type="dxa" w:w="0"/>
            </w:tcMar>
          </w:tcPr>
          <w:p>
            <w:pPr>
              <w:ind w:left="3480"/>
            </w:pPr>
            <w:r>
              <w:rPr>
                <w:sz w:val="1"/>
                <w:szCs w:val="1"/>
              </w:rPr>
              <w:t xml:space="preserve"/>
            </w:r>
          </w:p>
          <w:tbl>
            <w:tblPr>
              <w:tblW w:type="dxa" w:w="2400"/>
              <w:tblInd w:type="dxa" w:w="348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1F5C8B" w:sz="1"/>
                    <w:left w:val="single" w:color="1F5C8B" w:sz="1"/>
                    <w:bottom w:val="single" w:color="1F5C8B" w:sz="1"/>
                    <w:right w:val="single" w:color="1F5C8B" w:sz="1"/>
                  </w:tcBorders>
                  <w:shd w:fill="C00000" w:val="clear"/>
                  <w:tcMar>
                    <w:top w:type="dxa" w:w="80"/>
                    <w:left w:type="dxa" w:w="150"/>
                    <w:bottom w:type="dxa" w:w="80"/>
                    <w:right w:type="dxa" w:w="150"/>
                  </w:tcMar>
                </w:tcPr>
                <w:p>
                  <w:pPr>
                    <w:jc w:val="center"/>
                  </w:pPr>
                  <w:r>
                    <w:rPr>
                      <w:b/>
                      <w:bCs/>
                      <w:color w:val="FFFFFF"/>
                      <w:sz w:val="18"/>
                      <w:szCs w:val="18"/>
                    </w:rPr>
                    <w:t xml:space="preserve">Top Carnivores (Tertiary Consumers) – Least Energy</w:t>
                  </w:r>
                </w:p>
              </w:tc>
            </w:tr>
          </w:tbl>
          <w:p/>
        </w:tc>
      </w:tr>
      <w:tr>
        <w:tc>
          <w:tcPr>
            <w:tcW w:type="dxa" w:w="9360"/>
            <w:tcBorders>
              <w:top w:val="none"/>
              <w:left w:val="none"/>
              <w:bottom w:val="none"/>
              <w:right w:val="none"/>
            </w:tcBorders>
            <w:tcMar>
              <w:top w:type="dxa" w:w="0"/>
              <w:left w:type="dxa" w:w="0"/>
              <w:bottom w:type="dxa" w:w="0"/>
              <w:right w:type="dxa" w:w="0"/>
            </w:tcMar>
          </w:tcPr>
          <w:p>
            <w:pPr>
              <w:ind w:left="2680"/>
            </w:pPr>
            <w:r>
              <w:rPr>
                <w:sz w:val="1"/>
                <w:szCs w:val="1"/>
              </w:rPr>
              <w:t xml:space="preserve"/>
            </w:r>
          </w:p>
          <w:tbl>
            <w:tblPr>
              <w:tblW w:type="dxa" w:w="4000"/>
              <w:tblInd w:type="dxa" w:w="268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1F5C8B" w:sz="1"/>
                    <w:left w:val="single" w:color="1F5C8B" w:sz="1"/>
                    <w:bottom w:val="single" w:color="1F5C8B" w:sz="1"/>
                    <w:right w:val="single" w:color="1F5C8B" w:sz="1"/>
                  </w:tcBorders>
                  <w:shd w:fill="E06C00" w:val="clear"/>
                  <w:tcMar>
                    <w:top w:type="dxa" w:w="80"/>
                    <w:left w:type="dxa" w:w="150"/>
                    <w:bottom w:type="dxa" w:w="80"/>
                    <w:right w:type="dxa" w:w="150"/>
                  </w:tcMar>
                </w:tcPr>
                <w:p>
                  <w:pPr>
                    <w:jc w:val="center"/>
                  </w:pPr>
                  <w:r>
                    <w:rPr>
                      <w:b/>
                      <w:bCs/>
                      <w:color w:val="FFFFFF"/>
                      <w:sz w:val="18"/>
                      <w:szCs w:val="18"/>
                    </w:rPr>
                    <w:t xml:space="preserve">Secondary Consumers (Carnivores) – Less Energy</w:t>
                  </w:r>
                </w:p>
              </w:tc>
            </w:tr>
          </w:tbl>
          <w:p/>
        </w:tc>
      </w:tr>
      <w:tr>
        <w:tc>
          <w:tcPr>
            <w:tcW w:type="dxa" w:w="9360"/>
            <w:tcBorders>
              <w:top w:val="none"/>
              <w:left w:val="none"/>
              <w:bottom w:val="none"/>
              <w:right w:val="none"/>
            </w:tcBorders>
            <w:tcMar>
              <w:top w:type="dxa" w:w="0"/>
              <w:left w:type="dxa" w:w="0"/>
              <w:bottom w:type="dxa" w:w="0"/>
              <w:right w:type="dxa" w:w="0"/>
            </w:tcMar>
          </w:tcPr>
          <w:p>
            <w:pPr>
              <w:ind w:left="1880"/>
            </w:pPr>
            <w:r>
              <w:rPr>
                <w:sz w:val="1"/>
                <w:szCs w:val="1"/>
              </w:rPr>
              <w:t xml:space="preserve"/>
            </w:r>
          </w:p>
          <w:tbl>
            <w:tblPr>
              <w:tblW w:type="dxa" w:w="5600"/>
              <w:tblInd w:type="dxa" w:w="1880"/>
              <w:tblBorders>
                <w:top w:val="single" w:color="auto" w:sz="4"/>
                <w:left w:val="single" w:color="auto" w:sz="4"/>
                <w:bottom w:val="single" w:color="auto" w:sz="4"/>
                <w:right w:val="single" w:color="auto" w:sz="4"/>
                <w:insideH w:val="single" w:color="auto" w:sz="4"/>
                <w:insideV w:val="single" w:color="auto" w:sz="4"/>
              </w:tblBorders>
            </w:tblPr>
            <w:tblGrid>
              <w:gridCol w:w="5600"/>
            </w:tblGrid>
            <w:tr>
              <w:tc>
                <w:tcPr>
                  <w:tcW w:type="dxa" w:w="5600"/>
                  <w:tcBorders>
                    <w:top w:val="single" w:color="1F5C8B" w:sz="1"/>
                    <w:left w:val="single" w:color="1F5C8B" w:sz="1"/>
                    <w:bottom w:val="single" w:color="1F5C8B" w:sz="1"/>
                    <w:right w:val="single" w:color="1F5C8B" w:sz="1"/>
                  </w:tcBorders>
                  <w:shd w:fill="F0A000" w:val="clear"/>
                  <w:tcMar>
                    <w:top w:type="dxa" w:w="80"/>
                    <w:left w:type="dxa" w:w="150"/>
                    <w:bottom w:type="dxa" w:w="80"/>
                    <w:right w:type="dxa" w:w="150"/>
                  </w:tcMar>
                </w:tcPr>
                <w:p>
                  <w:pPr>
                    <w:jc w:val="center"/>
                  </w:pPr>
                  <w:r>
                    <w:rPr>
                      <w:b/>
                      <w:bCs/>
                      <w:color w:val="FFFFFF"/>
                      <w:sz w:val="18"/>
                      <w:szCs w:val="18"/>
                    </w:rPr>
                    <w:t xml:space="preserve">Primary Consumers (Herbivores) – More Energy</w:t>
                  </w:r>
                </w:p>
              </w:tc>
            </w:tr>
          </w:tbl>
          <w:p/>
        </w:tc>
      </w:tr>
      <w:tr>
        <w:tc>
          <w:tcPr>
            <w:tcW w:type="dxa" w:w="9360"/>
            <w:tcBorders>
              <w:top w:val="none"/>
              <w:left w:val="none"/>
              <w:bottom w:val="none"/>
              <w:right w:val="none"/>
            </w:tcBorders>
            <w:tcMar>
              <w:top w:type="dxa" w:w="0"/>
              <w:left w:type="dxa" w:w="0"/>
              <w:bottom w:type="dxa" w:w="0"/>
              <w:right w:type="dxa" w:w="0"/>
            </w:tcMar>
          </w:tcPr>
          <w:p>
            <w:pPr>
              <w:ind w:left="1080"/>
            </w:pPr>
            <w:r>
              <w:rPr>
                <w:sz w:val="1"/>
                <w:szCs w:val="1"/>
              </w:rPr>
              <w:t xml:space="preserve"/>
            </w:r>
          </w:p>
          <w:tbl>
            <w:tblPr>
              <w:tblW w:type="dxa" w:w="7200"/>
              <w:tblInd w:type="dxa" w:w="108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1F5C8B" w:sz="1"/>
                    <w:left w:val="single" w:color="1F5C8B" w:sz="1"/>
                    <w:bottom w:val="single" w:color="1F5C8B" w:sz="1"/>
                    <w:right w:val="single" w:color="1F5C8B" w:sz="1"/>
                  </w:tcBorders>
                  <w:shd w:fill="548235" w:val="clear"/>
                  <w:tcMar>
                    <w:top w:type="dxa" w:w="80"/>
                    <w:left w:type="dxa" w:w="150"/>
                    <w:bottom w:type="dxa" w:w="80"/>
                    <w:right w:type="dxa" w:w="150"/>
                  </w:tcMar>
                </w:tcPr>
                <w:p>
                  <w:pPr>
                    <w:jc w:val="center"/>
                  </w:pPr>
                  <w:r>
                    <w:rPr>
                      <w:b/>
                      <w:bCs/>
                      <w:color w:val="FFFFFF"/>
                      <w:sz w:val="18"/>
                      <w:szCs w:val="18"/>
                    </w:rPr>
                    <w:t xml:space="preserve">Producers (Plants) – Maximum Energy</w:t>
                  </w:r>
                </w:p>
              </w:tc>
            </w:tr>
          </w:tbl>
          <w:p/>
        </w:tc>
      </w:tr>
      <w:tr>
        <w:tc>
          <w:tcPr>
            <w:tcW w:type="dxa" w:w="9360"/>
            <w:tcBorders>
              <w:top w:val="none"/>
              <w:left w:val="none"/>
              <w:bottom w:val="none"/>
              <w:right w:val="none"/>
            </w:tcBorders>
            <w:tcMar>
              <w:top w:type="dxa" w:w="0"/>
              <w:left w:type="dxa" w:w="0"/>
              <w:bottom w:type="dxa" w:w="0"/>
              <w:right w:type="dxa" w:w="0"/>
            </w:tcMar>
          </w:tcPr>
          <w:p>
            <w:pPr>
              <w:ind w:left="180"/>
            </w:pPr>
            <w:r>
              <w:rPr>
                <w:sz w:val="1"/>
                <w:szCs w:val="1"/>
              </w:rPr>
              <w:t xml:space="preserve"/>
            </w:r>
          </w:p>
          <w:tbl>
            <w:tblPr>
              <w:tblW w:type="dxa" w:w="9000"/>
              <w:tblInd w:type="dxa" w:w="18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F5C8B" w:sz="1"/>
                    <w:left w:val="single" w:color="1F5C8B" w:sz="1"/>
                    <w:bottom w:val="single" w:color="1F5C8B" w:sz="1"/>
                    <w:right w:val="single" w:color="1F5C8B" w:sz="1"/>
                  </w:tcBorders>
                  <w:shd w:fill="1F5C8B" w:val="clear"/>
                  <w:tcMar>
                    <w:top w:type="dxa" w:w="80"/>
                    <w:left w:type="dxa" w:w="150"/>
                    <w:bottom w:type="dxa" w:w="80"/>
                    <w:right w:type="dxa" w:w="150"/>
                  </w:tcMar>
                </w:tcPr>
                <w:p>
                  <w:pPr>
                    <w:jc w:val="center"/>
                  </w:pPr>
                  <w:r>
                    <w:rPr>
                      <w:b/>
                      <w:bCs/>
                      <w:color w:val="FFFFFF"/>
                      <w:sz w:val="18"/>
                      <w:szCs w:val="18"/>
                    </w:rPr>
                    <w:t xml:space="preserve">Abiotic Environment (Sun, Soil, Water)</w:t>
                  </w:r>
                </w:p>
              </w:tc>
            </w:tr>
          </w:tbl>
          <w:p/>
        </w:tc>
      </w:tr>
    </w:tbl>
    <w:p>
      <w:pPr>
        <w:spacing w:after="60" w:before="60"/>
      </w:pPr>
      <w:r>
        <w:t xml:space="preserve"/>
      </w:r>
    </w:p>
    <w:p>
      <w:r>
        <w:br w:type="page"/>
      </w:r>
    </w:p>
    <w:p>
      <w:pPr>
        <w:pStyle w:val="Heading1"/>
      </w:pPr>
      <w:r>
        <w:rPr>
          <w:b/>
          <w:bCs/>
          <w:color w:val="1F5C8B"/>
          <w:sz w:val="32"/>
          <w:szCs w:val="32"/>
        </w:rPr>
        <w:t xml:space="preserve">17. PDCA Cycle – Detailed Explanation</w:t>
      </w:r>
    </w:p>
    <w:p>
      <w:pPr>
        <w:spacing w:after="120" w:before="120"/>
      </w:pPr>
      <w:r>
        <w:rPr>
          <w:sz w:val="22"/>
          <w:szCs w:val="22"/>
        </w:rPr>
        <w:t xml:space="preserve">The PDCA (Plan-Do-Check-Act) cycle, also known as the Deming Wheel or Shewhart Cycle, is a four-phase iterative management model used for continuous improvement of processes, products, and services. It was popularized by W. Edwards Deming.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5C8B" w:sz="1"/>
              <w:left w:val="single" w:color="1F5C8B" w:sz="1"/>
              <w:bottom w:val="single" w:color="1F5C8B" w:sz="1"/>
              <w:right w:val="single" w:color="1F5C8B" w:sz="1"/>
            </w:tcBorders>
            <w:shd w:fill="1F5C8B" w:val="clear"/>
            <w:tcMar>
              <w:top w:type="dxa" w:w="100"/>
              <w:left w:type="dxa" w:w="100"/>
              <w:bottom w:type="dxa" w:w="100"/>
              <w:right w:type="dxa" w:w="100"/>
            </w:tcMar>
          </w:tcPr>
          <w:p>
            <w:pPr>
              <w:jc w:val="center"/>
            </w:pPr>
            <w:r>
              <w:rPr>
                <w:b/>
                <w:bCs/>
                <w:color w:val="FFFFFF"/>
                <w:sz w:val="32"/>
                <w:szCs w:val="32"/>
              </w:rPr>
              <w:t xml:space="preserve">PLAN</w:t>
            </w:r>
          </w:p>
          <w:p>
            <w:pPr>
              <w:jc w:val="center"/>
            </w:pPr>
            <w:r>
              <w:rPr>
                <w:color w:val="FFFFFF"/>
                <w:sz w:val="18"/>
                <w:szCs w:val="18"/>
              </w:rPr>
              <w:t xml:space="preserve">Set objectives, identify processes needed to deliver results, establish targets</w:t>
            </w:r>
          </w:p>
        </w:tc>
        <w:tc>
          <w:tcPr>
            <w:tcW w:type="dxa" w:w="2340"/>
            <w:tcBorders>
              <w:top w:val="single" w:color="1F5C8B" w:sz="1"/>
              <w:left w:val="single" w:color="1F5C8B" w:sz="1"/>
              <w:bottom w:val="single" w:color="1F5C8B" w:sz="1"/>
              <w:right w:val="single" w:color="1F5C8B" w:sz="1"/>
            </w:tcBorders>
            <w:shd w:fill="548235" w:val="clear"/>
            <w:tcMar>
              <w:top w:type="dxa" w:w="100"/>
              <w:left w:type="dxa" w:w="100"/>
              <w:bottom w:type="dxa" w:w="100"/>
              <w:right w:type="dxa" w:w="100"/>
            </w:tcMar>
          </w:tcPr>
          <w:p>
            <w:pPr>
              <w:jc w:val="center"/>
            </w:pPr>
            <w:r>
              <w:rPr>
                <w:b/>
                <w:bCs/>
                <w:color w:val="FFFFFF"/>
                <w:sz w:val="32"/>
                <w:szCs w:val="32"/>
              </w:rPr>
              <w:t xml:space="preserve">DO</w:t>
            </w:r>
          </w:p>
          <w:p>
            <w:pPr>
              <w:jc w:val="center"/>
            </w:pPr>
            <w:r>
              <w:rPr>
                <w:color w:val="FFFFFF"/>
                <w:sz w:val="18"/>
                <w:szCs w:val="18"/>
              </w:rPr>
              <w:t xml:space="preserve">Implement the plan, execute the processes, make the product</w:t>
            </w:r>
          </w:p>
        </w:tc>
        <w:tc>
          <w:tcPr>
            <w:tcW w:type="dxa" w:w="2340"/>
            <w:tcBorders>
              <w:top w:val="single" w:color="1F5C8B" w:sz="1"/>
              <w:left w:val="single" w:color="1F5C8B" w:sz="1"/>
              <w:bottom w:val="single" w:color="1F5C8B" w:sz="1"/>
              <w:right w:val="single" w:color="1F5C8B" w:sz="1"/>
            </w:tcBorders>
            <w:shd w:fill="C00000" w:val="clear"/>
            <w:tcMar>
              <w:top w:type="dxa" w:w="100"/>
              <w:left w:type="dxa" w:w="100"/>
              <w:bottom w:type="dxa" w:w="100"/>
              <w:right w:type="dxa" w:w="100"/>
            </w:tcMar>
          </w:tcPr>
          <w:p>
            <w:pPr>
              <w:jc w:val="center"/>
            </w:pPr>
            <w:r>
              <w:rPr>
                <w:b/>
                <w:bCs/>
                <w:color w:val="FFFFFF"/>
                <w:sz w:val="32"/>
                <w:szCs w:val="32"/>
              </w:rPr>
              <w:t xml:space="preserve">CHECK</w:t>
            </w:r>
          </w:p>
          <w:p>
            <w:pPr>
              <w:jc w:val="center"/>
            </w:pPr>
            <w:r>
              <w:rPr>
                <w:color w:val="FFFFFF"/>
                <w:sz w:val="18"/>
                <w:szCs w:val="18"/>
              </w:rPr>
              <w:t xml:space="preserve">Monitor and measure processes against policies and objectives, report results</w:t>
            </w:r>
          </w:p>
        </w:tc>
        <w:tc>
          <w:tcPr>
            <w:tcW w:type="dxa" w:w="2340"/>
            <w:tcBorders>
              <w:top w:val="single" w:color="1F5C8B" w:sz="1"/>
              <w:left w:val="single" w:color="1F5C8B" w:sz="1"/>
              <w:bottom w:val="single" w:color="1F5C8B" w:sz="1"/>
              <w:right w:val="single" w:color="1F5C8B" w:sz="1"/>
            </w:tcBorders>
            <w:shd w:fill="7030A0" w:val="clear"/>
            <w:tcMar>
              <w:top w:type="dxa" w:w="100"/>
              <w:left w:type="dxa" w:w="100"/>
              <w:bottom w:type="dxa" w:w="100"/>
              <w:right w:type="dxa" w:w="100"/>
            </w:tcMar>
          </w:tcPr>
          <w:p>
            <w:pPr>
              <w:jc w:val="center"/>
            </w:pPr>
            <w:r>
              <w:rPr>
                <w:b/>
                <w:bCs/>
                <w:color w:val="FFFFFF"/>
                <w:sz w:val="32"/>
                <w:szCs w:val="32"/>
              </w:rPr>
              <w:t xml:space="preserve">ACT</w:t>
            </w:r>
          </w:p>
          <w:p>
            <w:pPr>
              <w:jc w:val="center"/>
            </w:pPr>
            <w:r>
              <w:rPr>
                <w:color w:val="FFFFFF"/>
                <w:sz w:val="18"/>
                <w:szCs w:val="18"/>
              </w:rPr>
              <w:t xml:space="preserve">Take actions to continually improve process performance, standardize solutions</w:t>
            </w:r>
          </w:p>
        </w:tc>
      </w:tr>
      <w:tr>
        <w:tc>
          <w:tcPr>
            <w:tcW w:type="dxa" w:w="9360"/>
            <w:gridSpan w:val="4"/>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b/>
                <w:bCs/>
                <w:sz w:val="20"/>
                <w:szCs w:val="20"/>
              </w:rPr>
              <w:t xml:space="preserve">PDCA Cycle: Plan → Do → Check → Act → (repeat continuously)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1F5C8B" w:sz="1"/>
              <w:left w:val="single" w:color="1F5C8B" w:sz="1"/>
              <w:bottom w:val="single" w:color="1F5C8B" w:sz="1"/>
              <w:right w:val="single" w:color="1F5C8B" w:sz="1"/>
            </w:tcBorders>
            <w:shd w:fill="1F5C8B" w:val="clear"/>
            <w:tcMar>
              <w:top w:type="dxa" w:w="100"/>
              <w:left w:type="dxa" w:w="150"/>
              <w:bottom w:type="dxa" w:w="100"/>
              <w:right w:type="dxa" w:w="150"/>
            </w:tcMar>
          </w:tcPr>
          <w:p>
            <w:r>
              <w:rPr>
                <w:b/>
                <w:bCs/>
                <w:color w:val="FFFFFF"/>
                <w:sz w:val="22"/>
                <w:szCs w:val="22"/>
              </w:rPr>
              <w:t xml:space="preserve">Phase</w:t>
            </w:r>
          </w:p>
        </w:tc>
        <w:tc>
          <w:tcPr>
            <w:tcW w:type="dxa" w:w="4000"/>
            <w:tcBorders>
              <w:top w:val="single" w:color="1F5C8B" w:sz="1"/>
              <w:left w:val="single" w:color="1F5C8B" w:sz="1"/>
              <w:bottom w:val="single" w:color="1F5C8B" w:sz="1"/>
              <w:right w:val="single" w:color="1F5C8B" w:sz="1"/>
            </w:tcBorders>
            <w:shd w:fill="1F5C8B" w:val="clear"/>
            <w:tcMar>
              <w:top w:type="dxa" w:w="100"/>
              <w:left w:type="dxa" w:w="150"/>
              <w:bottom w:type="dxa" w:w="100"/>
              <w:right w:type="dxa" w:w="150"/>
            </w:tcMar>
          </w:tcPr>
          <w:p>
            <w:r>
              <w:rPr>
                <w:b/>
                <w:bCs/>
                <w:color w:val="FFFFFF"/>
                <w:sz w:val="22"/>
                <w:szCs w:val="22"/>
              </w:rPr>
              <w:t xml:space="preserve">Activities</w:t>
            </w:r>
          </w:p>
        </w:tc>
        <w:tc>
          <w:tcPr>
            <w:tcW w:type="dxa" w:w="3160"/>
            <w:tcBorders>
              <w:top w:val="single" w:color="1F5C8B" w:sz="1"/>
              <w:left w:val="single" w:color="1F5C8B" w:sz="1"/>
              <w:bottom w:val="single" w:color="1F5C8B" w:sz="1"/>
              <w:right w:val="single" w:color="1F5C8B" w:sz="1"/>
            </w:tcBorders>
            <w:shd w:fill="1F5C8B" w:val="clear"/>
            <w:tcMar>
              <w:top w:type="dxa" w:w="100"/>
              <w:left w:type="dxa" w:w="150"/>
              <w:bottom w:type="dxa" w:w="100"/>
              <w:right w:type="dxa" w:w="150"/>
            </w:tcMar>
          </w:tcPr>
          <w:p>
            <w:r>
              <w:rPr>
                <w:b/>
                <w:bCs/>
                <w:color w:val="FFFFFF"/>
                <w:sz w:val="22"/>
                <w:szCs w:val="22"/>
              </w:rPr>
              <w:t xml:space="preserve">Questions Answered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PLAN
(Strategic Planning)</w:t>
            </w:r>
          </w:p>
        </w:tc>
        <w:tc>
          <w:tcPr>
            <w:tcW w:type="dxa" w:w="4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 Identify the problem or opportunity
• Analyse the current situation
• Set objectives and targets
• Identify root causes
• Develop an action plan
• Define measurement criteria</w:t>
            </w:r>
          </w:p>
        </w:tc>
        <w:tc>
          <w:tcPr>
            <w:tcW w:type="dxa" w:w="3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What is the problem? What are the goals? How will we achieve them?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DO
(Implementation)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 Implement the planned solution (on a small scale if possible)
• Execute the action plan
• Collect data during implementation
• Train employees
• Document observations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Was the plan implemented as intended? What happened?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CHECK
(Monitoring &amp; Evaluation)</w:t>
            </w:r>
          </w:p>
        </w:tc>
        <w:tc>
          <w:tcPr>
            <w:tcW w:type="dxa" w:w="4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 Compare results with planned objectives
• Analyse the data collected
• Identify deviations and non-conformances
• Audit the process
• Review effectiveness</w:t>
            </w:r>
          </w:p>
        </w:tc>
        <w:tc>
          <w:tcPr>
            <w:tcW w:type="dxa" w:w="31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Did the plan work? Did we achieve our goals? What went wrong?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ACT
(Corrective Action &amp; Standardization)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 If successful: Standardize and document the solution
• If unsuccessful: Revise the plan and repeat the cycle
• Take corrective action
• Update procedures and policies
• Communicate changes
• Set up the next improvement cycle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How do we sustain the improvement? What needs to change?</w:t>
            </w:r>
          </w:p>
        </w:tc>
      </w:tr>
    </w:tbl>
    <w:p>
      <w:pPr>
        <w:spacing w:after="60" w:before="60"/>
      </w:pPr>
      <w:r>
        <w:t xml:space="preserve"/>
      </w:r>
    </w:p>
    <w:p>
      <w:pPr>
        <w:pStyle w:val="Heading2"/>
      </w:pPr>
      <w:r>
        <w:rPr>
          <w:b/>
          <w:bCs/>
          <w:color w:val="2E75B6"/>
          <w:sz w:val="26"/>
          <w:szCs w:val="26"/>
        </w:rPr>
        <w:t xml:space="preserve">Applications of PDCA</w:t>
      </w:r>
    </w:p>
    <w:p>
      <w:pPr>
        <w:pStyle w:val="ListParagraph"/>
        <w:numPr>
          <w:ilvl w:val="0"/>
          <w:numId w:val="2"/>
        </w:numPr>
        <w:spacing w:after="60" w:before="60"/>
      </w:pPr>
      <w:r>
        <w:rPr>
          <w:sz w:val="22"/>
          <w:szCs w:val="22"/>
        </w:rPr>
        <w:t xml:space="preserve">ISO 9001 (Quality Management System)</w:t>
      </w:r>
    </w:p>
    <w:p>
      <w:pPr>
        <w:pStyle w:val="ListParagraph"/>
        <w:numPr>
          <w:ilvl w:val="0"/>
          <w:numId w:val="2"/>
        </w:numPr>
        <w:spacing w:after="60" w:before="60"/>
      </w:pPr>
      <w:r>
        <w:rPr>
          <w:sz w:val="22"/>
          <w:szCs w:val="22"/>
        </w:rPr>
        <w:t xml:space="preserve">ISO 14001 (Environmental Management System)</w:t>
      </w:r>
    </w:p>
    <w:p>
      <w:pPr>
        <w:pStyle w:val="ListParagraph"/>
        <w:numPr>
          <w:ilvl w:val="0"/>
          <w:numId w:val="2"/>
        </w:numPr>
        <w:spacing w:after="60" w:before="60"/>
      </w:pPr>
      <w:r>
        <w:rPr>
          <w:sz w:val="22"/>
          <w:szCs w:val="22"/>
        </w:rPr>
        <w:t xml:space="preserve">ISO 45001 (Occupational Health &amp; Safety)</w:t>
      </w:r>
    </w:p>
    <w:p>
      <w:pPr>
        <w:pStyle w:val="ListParagraph"/>
        <w:numPr>
          <w:ilvl w:val="0"/>
          <w:numId w:val="2"/>
        </w:numPr>
        <w:spacing w:after="60" w:before="60"/>
      </w:pPr>
      <w:r>
        <w:rPr>
          <w:sz w:val="22"/>
          <w:szCs w:val="22"/>
        </w:rPr>
        <w:t xml:space="preserve">Lean Manufacturing and Six Sigma</w:t>
      </w:r>
    </w:p>
    <w:p>
      <w:pPr>
        <w:pStyle w:val="ListParagraph"/>
        <w:numPr>
          <w:ilvl w:val="0"/>
          <w:numId w:val="2"/>
        </w:numPr>
        <w:spacing w:after="60" w:before="60"/>
      </w:pPr>
      <w:r>
        <w:rPr>
          <w:sz w:val="22"/>
          <w:szCs w:val="22"/>
        </w:rPr>
        <w:t xml:space="preserve">Healthcare quality improvement</w:t>
      </w:r>
    </w:p>
    <w:p>
      <w:pPr>
        <w:pStyle w:val="ListParagraph"/>
        <w:numPr>
          <w:ilvl w:val="0"/>
          <w:numId w:val="2"/>
        </w:numPr>
        <w:spacing w:after="60" w:before="60"/>
      </w:pPr>
      <w:r>
        <w:rPr>
          <w:sz w:val="22"/>
          <w:szCs w:val="22"/>
        </w:rPr>
        <w:t xml:space="preserve">Software development (Agile/Scrum follows PDCA principles)</w:t>
      </w:r>
    </w:p>
    <w:p>
      <w:pPr>
        <w:spacing w:after="60" w:before="60"/>
      </w:pPr>
      <w:r>
        <w:t xml:space="preserve"/>
      </w:r>
    </w:p>
    <w:p>
      <w:r>
        <w:br w:type="page"/>
      </w:r>
    </w:p>
    <w:p>
      <w:pPr>
        <w:pStyle w:val="Heading1"/>
      </w:pPr>
      <w:r>
        <w:rPr>
          <w:b/>
          <w:bCs/>
          <w:color w:val="1F5C8B"/>
          <w:sz w:val="32"/>
          <w:szCs w:val="32"/>
        </w:rPr>
        <w:t xml:space="preserve">18. Six Sigma – Objectives and Detailed Explanation</w:t>
      </w:r>
    </w:p>
    <w:p>
      <w:pPr>
        <w:pStyle w:val="Heading2"/>
      </w:pPr>
      <w:r>
        <w:rPr>
          <w:b/>
          <w:bCs/>
          <w:color w:val="2E75B6"/>
          <w:sz w:val="26"/>
          <w:szCs w:val="26"/>
        </w:rPr>
        <w:t xml:space="preserve">18.1 Introduction</w:t>
      </w:r>
    </w:p>
    <w:p>
      <w:pPr>
        <w:spacing w:after="120" w:before="120"/>
      </w:pPr>
      <w:r>
        <w:rPr>
          <w:sz w:val="22"/>
          <w:szCs w:val="22"/>
        </w:rPr>
        <w:t xml:space="preserve">Six Sigma is a data-driven quality management methodology aimed at eliminating defects and reducing variation in processes. Developed by Motorola engineer Bill Smith in 1986 and popularized by GE's Jack Welch in the 1990s, Six Sigma seeks to achieve near-perfect quality by reducing defects to 3.4 per million opportunities (DPMO).</w:t>
      </w:r>
    </w:p>
    <w:p>
      <w:pPr>
        <w:spacing w:after="60" w:before="60"/>
      </w:pPr>
      <w:r>
        <w:t xml:space="preserve"/>
      </w:r>
    </w:p>
    <w:p>
      <w:pPr>
        <w:spacing w:after="120" w:before="120"/>
      </w:pPr>
      <w:r>
        <w:rPr>
          <w:b w:val="false"/>
          <w:bCs w:val="false"/>
          <w:sz w:val="22"/>
          <w:szCs w:val="22"/>
        </w:rPr>
        <w:t xml:space="preserve">The term 'Six Sigma' comes from statistics: sigma (σ) represents standard deviation. At 6 sigma, the process is 99.99966% defect-free.</w:t>
      </w:r>
    </w:p>
    <w:p>
      <w:pPr>
        <w:spacing w:after="60" w:before="60"/>
      </w:pPr>
      <w:r>
        <w:t xml:space="preserve"/>
      </w:r>
    </w:p>
    <w:p>
      <w:pPr>
        <w:pStyle w:val="Heading2"/>
      </w:pPr>
      <w:r>
        <w:rPr>
          <w:b/>
          <w:bCs/>
          <w:color w:val="2E75B6"/>
          <w:sz w:val="26"/>
          <w:szCs w:val="26"/>
        </w:rPr>
        <w:t xml:space="preserve">18.2 Objectives of Six Sigma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5C8B" w:sz="1"/>
              <w:left w:val="single" w:color="1F5C8B" w:sz="1"/>
              <w:bottom w:val="single" w:color="1F5C8B" w:sz="1"/>
              <w:right w:val="single" w:color="1F5C8B" w:sz="1"/>
            </w:tcBorders>
            <w:shd w:fill="1F5C8B" w:val="clear"/>
            <w:tcMar>
              <w:top w:type="dxa" w:w="100"/>
              <w:left w:type="dxa" w:w="150"/>
              <w:bottom w:type="dxa" w:w="100"/>
              <w:right w:type="dxa" w:w="150"/>
            </w:tcMar>
          </w:tcPr>
          <w:p>
            <w:r>
              <w:rPr>
                <w:b/>
                <w:bCs/>
                <w:color w:val="FFFFFF"/>
                <w:sz w:val="22"/>
                <w:szCs w:val="22"/>
              </w:rPr>
              <w:t xml:space="preserve">Objective</w:t>
            </w:r>
          </w:p>
        </w:tc>
        <w:tc>
          <w:tcPr>
            <w:tcW w:type="dxa" w:w="6360"/>
            <w:tcBorders>
              <w:top w:val="single" w:color="1F5C8B" w:sz="1"/>
              <w:left w:val="single" w:color="1F5C8B" w:sz="1"/>
              <w:bottom w:val="single" w:color="1F5C8B" w:sz="1"/>
              <w:right w:val="single" w:color="1F5C8B" w:sz="1"/>
            </w:tcBorders>
            <w:shd w:fill="1F5C8B" w:val="clear"/>
            <w:tcMar>
              <w:top w:type="dxa" w:w="100"/>
              <w:left w:type="dxa" w:w="150"/>
              <w:bottom w:type="dxa" w:w="100"/>
              <w:right w:type="dxa" w:w="150"/>
            </w:tcMar>
          </w:tcPr>
          <w:p>
            <w:r>
              <w:rPr>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Defect Reduction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Reduce process defects to 3.4 per million opportunities (DPMO)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Process Variation Reduction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Minimize variation in processes to improve consistency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Customer Satisfaction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Align processes with customer requirements (CTQ – Critical to Quality)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Cost Reduction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Eliminate waste, rework, and failures; reduce cost of poor quality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Cycle Time Reduction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Speed up processes by eliminating non-value-added steps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Data-Driven Decisions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Base all decisions on statistical analysis and hard data</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Cultural Change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Create a culture of quality and continuous improvement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Competitive Advantage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Achieve superior quality that differentiates from competitors</w:t>
            </w:r>
          </w:p>
        </w:tc>
      </w:tr>
    </w:tbl>
    <w:p>
      <w:pPr>
        <w:spacing w:after="60" w:before="60"/>
      </w:pPr>
      <w:r>
        <w:t xml:space="preserve"/>
      </w:r>
    </w:p>
    <w:p>
      <w:pPr>
        <w:pStyle w:val="Heading2"/>
      </w:pPr>
      <w:r>
        <w:rPr>
          <w:b/>
          <w:bCs/>
          <w:color w:val="2E75B6"/>
          <w:sz w:val="26"/>
          <w:szCs w:val="26"/>
        </w:rPr>
        <w:t xml:space="preserve">18.3 DMAIC Methodology (Core Six Sigma Framework)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rPr>
          <w:tblHeader/>
        </w:trPr>
        <w:tc>
          <w:tcPr>
            <w:tcW w:type="dxa" w:w="600"/>
            <w:tcBorders>
              <w:top w:val="single" w:color="1F5C8B" w:sz="1"/>
              <w:left w:val="single" w:color="1F5C8B" w:sz="1"/>
              <w:bottom w:val="single" w:color="1F5C8B" w:sz="1"/>
              <w:right w:val="single" w:color="1F5C8B" w:sz="1"/>
            </w:tcBorders>
            <w:shd w:fill="1F5C8B" w:val="clear"/>
            <w:tcMar>
              <w:top w:type="dxa" w:w="100"/>
              <w:left w:type="dxa" w:w="150"/>
              <w:bottom w:type="dxa" w:w="100"/>
              <w:right w:type="dxa" w:w="150"/>
            </w:tcMar>
          </w:tcPr>
          <w:p>
            <w:r>
              <w:rPr>
                <w:b/>
                <w:bCs/>
                <w:color w:val="FFFFFF"/>
                <w:sz w:val="22"/>
                <w:szCs w:val="22"/>
              </w:rPr>
              <w:t xml:space="preserve">Phase</w:t>
            </w:r>
          </w:p>
        </w:tc>
        <w:tc>
          <w:tcPr>
            <w:tcW w:type="dxa" w:w="2000"/>
            <w:tcBorders>
              <w:top w:val="single" w:color="1F5C8B" w:sz="1"/>
              <w:left w:val="single" w:color="1F5C8B" w:sz="1"/>
              <w:bottom w:val="single" w:color="1F5C8B" w:sz="1"/>
              <w:right w:val="single" w:color="1F5C8B" w:sz="1"/>
            </w:tcBorders>
            <w:shd w:fill="1F5C8B" w:val="clear"/>
            <w:tcMar>
              <w:top w:type="dxa" w:w="100"/>
              <w:left w:type="dxa" w:w="150"/>
              <w:bottom w:type="dxa" w:w="100"/>
              <w:right w:type="dxa" w:w="150"/>
            </w:tcMar>
          </w:tcPr>
          <w:p>
            <w:r>
              <w:rPr>
                <w:b/>
                <w:bCs/>
                <w:color w:val="FFFFFF"/>
                <w:sz w:val="22"/>
                <w:szCs w:val="22"/>
              </w:rPr>
              <w:t xml:space="preserve">Full Form</w:t>
            </w:r>
          </w:p>
        </w:tc>
        <w:tc>
          <w:tcPr>
            <w:tcW w:type="dxa" w:w="6760"/>
            <w:tcBorders>
              <w:top w:val="single" w:color="1F5C8B" w:sz="1"/>
              <w:left w:val="single" w:color="1F5C8B" w:sz="1"/>
              <w:bottom w:val="single" w:color="1F5C8B" w:sz="1"/>
              <w:right w:val="single" w:color="1F5C8B" w:sz="1"/>
            </w:tcBorders>
            <w:shd w:fill="1F5C8B" w:val="clear"/>
            <w:tcMar>
              <w:top w:type="dxa" w:w="100"/>
              <w:left w:type="dxa" w:w="150"/>
              <w:bottom w:type="dxa" w:w="100"/>
              <w:right w:type="dxa" w:w="150"/>
            </w:tcMar>
          </w:tcPr>
          <w:p>
            <w:r>
              <w:rPr>
                <w:b/>
                <w:bCs/>
                <w:color w:val="FFFFFF"/>
                <w:sz w:val="22"/>
                <w:szCs w:val="22"/>
              </w:rPr>
              <w:t xml:space="preserve">Objective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Define</w:t>
            </w:r>
          </w:p>
        </w:tc>
        <w:tc>
          <w:tcPr>
            <w:tcW w:type="dxa" w:w="67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Define customer requirements, project goals, and scope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Measure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Measure current process performance and collect data</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A</w:t>
            </w:r>
          </w:p>
        </w:tc>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Analyse</w:t>
            </w:r>
          </w:p>
        </w:tc>
        <w:tc>
          <w:tcPr>
            <w:tcW w:type="dxa" w:w="67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Analyse data to find root causes of defects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Improve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Implement and verify solutions to root causes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C</w:t>
            </w:r>
          </w:p>
        </w:tc>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Control</w:t>
            </w:r>
          </w:p>
        </w:tc>
        <w:tc>
          <w:tcPr>
            <w:tcW w:type="dxa" w:w="67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Control the process to sustain improvements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1F5C8B" w:sz="1"/>
              <w:left w:val="single" w:color="1F5C8B" w:sz="1"/>
              <w:bottom w:val="single" w:color="1F5C8B" w:sz="1"/>
              <w:right w:val="single" w:color="1F5C8B" w:sz="1"/>
            </w:tcBorders>
            <w:shd w:fill="1F5C8B" w:val="clear"/>
            <w:tcMar>
              <w:top w:type="dxa" w:w="100"/>
              <w:left w:type="dxa" w:w="150"/>
              <w:bottom w:type="dxa" w:w="100"/>
              <w:right w:type="dxa" w:w="150"/>
            </w:tcMar>
          </w:tcPr>
          <w:p>
            <w:r>
              <w:rPr>
                <w:b/>
                <w:bCs/>
                <w:color w:val="FFFFFF"/>
                <w:sz w:val="22"/>
                <w:szCs w:val="22"/>
              </w:rPr>
              <w:t xml:space="preserve">Phase</w:t>
            </w:r>
          </w:p>
        </w:tc>
        <w:tc>
          <w:tcPr>
            <w:tcW w:type="dxa" w:w="7860"/>
            <w:tcBorders>
              <w:top w:val="single" w:color="1F5C8B" w:sz="1"/>
              <w:left w:val="single" w:color="1F5C8B" w:sz="1"/>
              <w:bottom w:val="single" w:color="1F5C8B" w:sz="1"/>
              <w:right w:val="single" w:color="1F5C8B" w:sz="1"/>
            </w:tcBorders>
            <w:shd w:fill="1F5C8B" w:val="clear"/>
            <w:tcMar>
              <w:top w:type="dxa" w:w="100"/>
              <w:left w:type="dxa" w:w="150"/>
              <w:bottom w:type="dxa" w:w="100"/>
              <w:right w:type="dxa" w:w="150"/>
            </w:tcMar>
          </w:tcPr>
          <w:p>
            <w:r>
              <w:rPr>
                <w:b/>
                <w:bCs/>
                <w:color w:val="FFFFFF"/>
                <w:sz w:val="22"/>
                <w:szCs w:val="22"/>
              </w:rPr>
              <w:t xml:space="preserve">Tools Used</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Define</w:t>
            </w:r>
          </w:p>
        </w:tc>
        <w:tc>
          <w:tcPr>
            <w:tcW w:type="dxa" w:w="78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Project Charter, SIPOC Diagram, Voice of Customer (VOC), CTQ Tree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Measure</w:t>
            </w:r>
          </w:p>
        </w:tc>
        <w:tc>
          <w:tcPr>
            <w:tcW w:type="dxa" w:w="7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Process Maps, Data Collection Plan, Gauge R&amp;R, Capability Analysis, Baseline Sigma</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Analyse</w:t>
            </w:r>
          </w:p>
        </w:tc>
        <w:tc>
          <w:tcPr>
            <w:tcW w:type="dxa" w:w="78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Fishbone Diagram, Pareto Chart, 5 Whys, Regression Analysis, Hypothesis Testing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Improve</w:t>
            </w:r>
          </w:p>
        </w:tc>
        <w:tc>
          <w:tcPr>
            <w:tcW w:type="dxa" w:w="7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Design of Experiments (DOE), Kaizen Events, Poka-Yoke, Pilot Testing, FMEA</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Control</w:t>
            </w:r>
          </w:p>
        </w:tc>
        <w:tc>
          <w:tcPr>
            <w:tcW w:type="dxa" w:w="78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Control Charts, Standard Operating Procedures, Control Plan, Statistical Process Control</w:t>
            </w:r>
          </w:p>
        </w:tc>
      </w:tr>
    </w:tbl>
    <w:p>
      <w:pPr>
        <w:spacing w:after="60" w:before="60"/>
      </w:pPr>
      <w:r>
        <w:t xml:space="preserve"/>
      </w:r>
    </w:p>
    <w:p>
      <w:pPr>
        <w:pStyle w:val="Heading2"/>
      </w:pPr>
      <w:r>
        <w:rPr>
          <w:b/>
          <w:bCs/>
          <w:color w:val="2E75B6"/>
          <w:sz w:val="26"/>
          <w:szCs w:val="26"/>
        </w:rPr>
        <w:t xml:space="preserve">18.4 Six Sigma Belt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F5C8B" w:sz="1"/>
              <w:left w:val="single" w:color="1F5C8B" w:sz="1"/>
              <w:bottom w:val="single" w:color="1F5C8B" w:sz="1"/>
              <w:right w:val="single" w:color="1F5C8B" w:sz="1"/>
            </w:tcBorders>
            <w:shd w:fill="1F5C8B" w:val="clear"/>
            <w:tcMar>
              <w:top w:type="dxa" w:w="100"/>
              <w:left w:type="dxa" w:w="150"/>
              <w:bottom w:type="dxa" w:w="100"/>
              <w:right w:type="dxa" w:w="150"/>
            </w:tcMar>
          </w:tcPr>
          <w:p>
            <w:r>
              <w:rPr>
                <w:b/>
                <w:bCs/>
                <w:color w:val="FFFFFF"/>
                <w:sz w:val="22"/>
                <w:szCs w:val="22"/>
              </w:rPr>
              <w:t xml:space="preserve">Belt Level</w:t>
            </w:r>
          </w:p>
        </w:tc>
        <w:tc>
          <w:tcPr>
            <w:tcW w:type="dxa" w:w="6860"/>
            <w:tcBorders>
              <w:top w:val="single" w:color="1F5C8B" w:sz="1"/>
              <w:left w:val="single" w:color="1F5C8B" w:sz="1"/>
              <w:bottom w:val="single" w:color="1F5C8B" w:sz="1"/>
              <w:right w:val="single" w:color="1F5C8B" w:sz="1"/>
            </w:tcBorders>
            <w:shd w:fill="1F5C8B" w:val="clear"/>
            <w:tcMar>
              <w:top w:type="dxa" w:w="100"/>
              <w:left w:type="dxa" w:w="150"/>
              <w:bottom w:type="dxa" w:w="100"/>
              <w:right w:type="dxa" w:w="150"/>
            </w:tcMar>
          </w:tcPr>
          <w:p>
            <w:r>
              <w:rPr>
                <w:b/>
                <w:bCs/>
                <w:color w:val="FFFFFF"/>
                <w:sz w:val="22"/>
                <w:szCs w:val="22"/>
              </w:rPr>
              <w:t xml:space="preserve">Role &amp; Responsibility</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White Belt</w:t>
            </w:r>
          </w:p>
        </w:tc>
        <w:tc>
          <w:tcPr>
            <w:tcW w:type="dxa" w:w="68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Basic awareness; supports local problem-solving teams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Yellow Belt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Supports projects; understands basic tools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Green Belt</w:t>
            </w:r>
          </w:p>
        </w:tc>
        <w:tc>
          <w:tcPr>
            <w:tcW w:type="dxa" w:w="68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Leads small projects; data analysis and process improvement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Black Belt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Full-time project leader; expert in DMAIC and statistical tools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Master Black Belt</w:t>
            </w:r>
          </w:p>
        </w:tc>
        <w:tc>
          <w:tcPr>
            <w:tcW w:type="dxa" w:w="686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sz w:val="22"/>
                <w:szCs w:val="22"/>
              </w:rPr>
              <w:t xml:space="preserve">Trains and mentors Black/Green Belts; strategic guidance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Champion / Executive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2"/>
                <w:szCs w:val="22"/>
              </w:rPr>
              <w:t xml:space="preserve">Provides resources, removes barriers; aligns Six Sigma with strategy</w:t>
            </w:r>
          </w:p>
        </w:tc>
      </w:tr>
    </w:tbl>
    <w:p>
      <w:pPr>
        <w:spacing w:after="60" w:before="60"/>
      </w:pPr>
      <w:r>
        <w:t xml:space="preserve"/>
      </w:r>
    </w:p>
    <w:p>
      <w:pPr>
        <w:pStyle w:val="Heading2"/>
      </w:pPr>
      <w:r>
        <w:rPr>
          <w:b/>
          <w:bCs/>
          <w:color w:val="2E75B6"/>
          <w:sz w:val="26"/>
          <w:szCs w:val="26"/>
        </w:rPr>
        <w:t xml:space="preserve">18.5 Benefits of Six Sigma</w:t>
      </w:r>
    </w:p>
    <w:p>
      <w:pPr>
        <w:pStyle w:val="ListParagraph"/>
        <w:numPr>
          <w:ilvl w:val="0"/>
          <w:numId w:val="2"/>
        </w:numPr>
        <w:spacing w:after="60" w:before="60"/>
      </w:pPr>
      <w:r>
        <w:rPr>
          <w:sz w:val="22"/>
          <w:szCs w:val="22"/>
        </w:rPr>
        <w:t xml:space="preserve">Significant reduction in defect rates and quality costs</w:t>
      </w:r>
    </w:p>
    <w:p>
      <w:pPr>
        <w:pStyle w:val="ListParagraph"/>
        <w:numPr>
          <w:ilvl w:val="0"/>
          <w:numId w:val="2"/>
        </w:numPr>
        <w:spacing w:after="60" w:before="60"/>
      </w:pPr>
      <w:r>
        <w:rPr>
          <w:sz w:val="22"/>
          <w:szCs w:val="22"/>
        </w:rPr>
        <w:t xml:space="preserve">Improved customer satisfaction and retention</w:t>
      </w:r>
    </w:p>
    <w:p>
      <w:pPr>
        <w:pStyle w:val="ListParagraph"/>
        <w:numPr>
          <w:ilvl w:val="0"/>
          <w:numId w:val="2"/>
        </w:numPr>
        <w:spacing w:after="60" w:before="60"/>
      </w:pPr>
      <w:r>
        <w:rPr>
          <w:sz w:val="22"/>
          <w:szCs w:val="22"/>
        </w:rPr>
        <w:t xml:space="preserve">Increased process efficiency and productivity</w:t>
      </w:r>
    </w:p>
    <w:p>
      <w:pPr>
        <w:pStyle w:val="ListParagraph"/>
        <w:numPr>
          <w:ilvl w:val="0"/>
          <w:numId w:val="2"/>
        </w:numPr>
        <w:spacing w:after="60" w:before="60"/>
      </w:pPr>
      <w:r>
        <w:rPr>
          <w:sz w:val="22"/>
          <w:szCs w:val="22"/>
        </w:rPr>
        <w:t xml:space="preserve">Reduction in cycle time and time-to-market</w:t>
      </w:r>
    </w:p>
    <w:p>
      <w:pPr>
        <w:pStyle w:val="ListParagraph"/>
        <w:numPr>
          <w:ilvl w:val="0"/>
          <w:numId w:val="2"/>
        </w:numPr>
        <w:spacing w:after="60" w:before="60"/>
      </w:pPr>
      <w:r>
        <w:rPr>
          <w:sz w:val="22"/>
          <w:szCs w:val="22"/>
        </w:rPr>
        <w:t xml:space="preserve">Better use of data and statistical analysis in decision-making</w:t>
      </w:r>
    </w:p>
    <w:p>
      <w:pPr>
        <w:pStyle w:val="ListParagraph"/>
        <w:numPr>
          <w:ilvl w:val="0"/>
          <w:numId w:val="2"/>
        </w:numPr>
        <w:spacing w:after="60" w:before="60"/>
      </w:pPr>
      <w:r>
        <w:rPr>
          <w:sz w:val="22"/>
          <w:szCs w:val="22"/>
        </w:rPr>
        <w:t xml:space="preserve">Culture of quality and continuous improvement</w:t>
      </w:r>
    </w:p>
    <w:p>
      <w:pPr>
        <w:pStyle w:val="ListParagraph"/>
        <w:numPr>
          <w:ilvl w:val="0"/>
          <w:numId w:val="2"/>
        </w:numPr>
        <w:spacing w:after="60" w:before="60"/>
      </w:pPr>
      <w:r>
        <w:rPr>
          <w:sz w:val="22"/>
          <w:szCs w:val="22"/>
        </w:rPr>
        <w:t xml:space="preserve">Financial savings: GE reported $12 billion in savings in first 5 years of Six Sigma</w:t>
      </w:r>
    </w:p>
    <w:p>
      <w:pPr>
        <w:spacing w:after="60" w:before="60"/>
      </w:pPr>
      <w:r>
        <w:t xml:space="preserve"/>
      </w:r>
    </w:p>
    <w:p>
      <w:pPr>
        <w:pBdr>
          <w:top w:val="single" w:color="1F5C8B" w:sz="6" w:space="1"/>
        </w:pBdr>
        <w:spacing w:before="400"/>
        <w:jc w:val="center"/>
      </w:pPr>
      <w:r>
        <w:rPr>
          <w:i/>
          <w:iCs/>
          <w:color w:val="595959"/>
          <w:sz w:val="20"/>
          <w:szCs w:val="20"/>
        </w:rPr>
        <w:t xml:space="preserve">— End of Document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C8B" w:sz="4" w:space="1"/>
      </w:pBd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 Environmental Studies &amp; Quality Management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8B" w:sz="4" w:space="1"/>
      </w:pBdr>
    </w:pPr>
    <w:r>
      <w:rPr>
        <w:i/>
        <w:iCs/>
        <w:color w:val="595959"/>
        <w:sz w:val="18"/>
        <w:szCs w:val="18"/>
      </w:rPr>
      <w:t xml:space="preserve">Environmental Studies &amp; Quality Management – Comprehensive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5C8B" w:sz="4" w:space="2"/>
      </w:pBdr>
      <w:spacing w:after="200" w:before="360"/>
      <w:outlineLvl w:val="0"/>
    </w:pPr>
    <w:rPr>
      <w:rFonts w:ascii="Arial" w:cs="Arial" w:eastAsia="Arial" w:hAnsi="Arial"/>
      <w:b/>
      <w:bCs/>
      <w:color w:val="1F5C8B"/>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2026-04-07T16:05:00.912Z</dcterms:created>
  <dcterms:modified xsi:type="dcterms:W3CDTF">2026-04-07T16:05:00.912Z</dcterms:modified>
</cp:coreProperties>
</file>

<file path=docProps/custom.xml><?xml version="1.0" encoding="utf-8"?>
<Properties xmlns="http://schemas.openxmlformats.org/officeDocument/2006/custom-properties" xmlns:vt="http://schemas.openxmlformats.org/officeDocument/2006/docPropsVTypes"/>
</file>