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0" w:before="160" w:line="180" w:lineRule="auto"/>
        <w:rPr>
          <w:rFonts w:ascii="Roboto" w:cs="Roboto" w:eastAsia="Roboto" w:hAnsi="Roboto"/>
          <w:color w:val="3f5368"/>
          <w:sz w:val="36"/>
          <w:szCs w:val="36"/>
          <w:highlight w:val="white"/>
        </w:rPr>
      </w:pPr>
      <w:bookmarkStart w:colFirst="0" w:colLast="0" w:name="_rrg0x1b0sukn" w:id="0"/>
      <w:bookmarkEnd w:id="0"/>
      <w:r w:rsidDel="00000000" w:rsidR="00000000" w:rsidRPr="00000000">
        <w:rPr>
          <w:rFonts w:ascii="Roboto" w:cs="Roboto" w:eastAsia="Roboto" w:hAnsi="Roboto"/>
          <w:color w:val="3f5368"/>
          <w:sz w:val="36"/>
          <w:szCs w:val="36"/>
          <w:highlight w:val="white"/>
          <w:rtl w:val="0"/>
        </w:rPr>
        <w:t xml:space="preserve">A/B-тестирование (семинары)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after="0" w:before="0" w:line="320" w:lineRule="auto"/>
        <w:rPr>
          <w:rFonts w:ascii="Roboto" w:cs="Roboto" w:eastAsia="Roboto" w:hAnsi="Roboto"/>
          <w:color w:val="3f5368"/>
          <w:sz w:val="26"/>
          <w:szCs w:val="26"/>
          <w:highlight w:val="white"/>
        </w:rPr>
      </w:pPr>
      <w:bookmarkStart w:colFirst="0" w:colLast="0" w:name="_p48m0geds7rx" w:id="1"/>
      <w:bookmarkEnd w:id="1"/>
      <w:r w:rsidDel="00000000" w:rsidR="00000000" w:rsidRPr="00000000">
        <w:rPr>
          <w:rFonts w:ascii="Roboto" w:cs="Roboto" w:eastAsia="Roboto" w:hAnsi="Roboto"/>
          <w:color w:val="3f5368"/>
          <w:sz w:val="26"/>
          <w:szCs w:val="26"/>
          <w:highlight w:val="white"/>
          <w:rtl w:val="0"/>
        </w:rPr>
        <w:t xml:space="preserve">Урок 1. Формирование гипотез и их скоринг на основе данных</w:t>
      </w:r>
    </w:p>
    <w:p w:rsidR="00000000" w:rsidDel="00000000" w:rsidP="00000000" w:rsidRDefault="00000000" w:rsidRPr="00000000" w14:paraId="00000003">
      <w:pPr>
        <w:shd w:fill="ffffff" w:val="clear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Задание 1 . Выберите любой продукт.</w:t>
        <w:br w:type="textWrapping"/>
        <w:t xml:space="preserve">Например ваш продукт</w:t>
        <w:br w:type="textWrapping"/>
        <w:t xml:space="preserve">ozon.ru</w:t>
      </w:r>
    </w:p>
    <w:p w:rsidR="00000000" w:rsidDel="00000000" w:rsidP="00000000" w:rsidRDefault="00000000" w:rsidRPr="00000000" w14:paraId="00000004">
      <w:pPr>
        <w:shd w:fill="ffffff" w:val="clear"/>
        <w:ind w:left="0" w:firstLine="0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citilink.ru</w:t>
        <w:br w:type="textWrapping"/>
        <w:t xml:space="preserve">telegram</w:t>
      </w:r>
    </w:p>
    <w:p w:rsidR="00000000" w:rsidDel="00000000" w:rsidP="00000000" w:rsidRDefault="00000000" w:rsidRPr="00000000" w14:paraId="00000005">
      <w:pPr>
        <w:shd w:fill="ffffff" w:val="clear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Какие бы ключевые метрики вы выделили? Опишите почему вы выбрали именно их и можно ли их измерить</w:t>
      </w:r>
    </w:p>
    <w:p w:rsidR="00000000" w:rsidDel="00000000" w:rsidP="00000000" w:rsidRDefault="00000000" w:rsidRPr="00000000" w14:paraId="00000006">
      <w:pPr>
        <w:shd w:fill="ffffff" w:val="clear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Задание 2. Сформулируйте 5-10 гипотез для выбранного продукта.</w:t>
      </w:r>
    </w:p>
    <w:p w:rsidR="00000000" w:rsidDel="00000000" w:rsidP="00000000" w:rsidRDefault="00000000" w:rsidRPr="00000000" w14:paraId="00000007">
      <w:pPr>
        <w:shd w:fill="ffffff" w:val="clear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Задание 1 </w:t>
      </w:r>
    </w:p>
    <w:p w:rsidR="00000000" w:rsidDel="00000000" w:rsidP="00000000" w:rsidRDefault="00000000" w:rsidRPr="00000000" w14:paraId="00000009">
      <w:pPr>
        <w:shd w:fill="ffffff" w:val="clear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ozon.ru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hd w:fill="ffffff" w:val="clear"/>
        <w:ind w:left="720" w:hanging="36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кол-во привлеченных пользователей по рекламным программам (Метрика 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отражает количество пользователей, которые посетили сайт или совершили определенное действие (например, регистрацию, покупку, заполнение формы) в результате участия в рекламных программах. Она позволяет оценить эффективность рекламных кампаний и определить, сколько пользователей удалось привлечь благодаря различным рекламным и маркетинговым усилиям.)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hd w:fill="ffffff" w:val="clear"/>
        <w:ind w:left="720" w:hanging="36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кол-во привлеченных пользователей к покупке по рассылке индивидуальных предложений (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Метрика поможет  оценить прибыль, которую компания может получить от каждого клиента при условии специальных предложений для конкретного пользователя)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кол-во пользователей состоящие в КЛУБЕ ОЗОН (подписка премиум) (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Метрика отражает тех пользователей, которые вероятно удовлетворены сайтом и пользуются на постоянной основе.Поможет  оценить прибыль, которую компания может получить от пользователя за время сотрудничества с ним по этой подписки озон)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hd w:fill="ffffff" w:val="clear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средний чек пользователя (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Метрика показывает среднюю сумму, которую каждый покупатель тратит за одно посещение сайта. Она помогает оценить, насколько успешно удается стимулировать клиентов к дополнительным покупкам и увеличению среднего чека)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hd w:fill="ffffff" w:val="clear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как часто (в месяц) пользователь делает заказ на сайте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( Метрика позволяет измерить потребность клиента в том или ином товаре /услуге)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BR (показатель отказов) - % пользователей, которые покинули сайт, просмотрев 1 страницу и не совершив целевых действий. (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Метрика позволяет измерить процент посетителей, которые покидают сайт без взаимодействия с ним. Высокий коэффициент отказов может указывать на проблемы с привлечением целевой аудитории или на неудовлетворительный пользовательский опыт.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Abandonment Rate - доля упущенных обращений / звонков / брошенных корзин (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Метрика позволяет измерить процент посетителей, которые выполнили желаемое действие, например, совершили покупку или оформили подписку. Она важна, чтобы оценить эффективность сайта в привлечении и удержании клиентов.)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кол-во пользователей пользующихся озон-банком 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(Метрика позволяет измерить процент пользователей осуществляющих покупки/использующие возможности озон-банка)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доход от категории продукта(услуги) или товара  за все время сотрудничества 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( Метрика позволяет оценивать наиболее популярные и пользующиеся спросом категории товаров и услуг)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Задание 2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/>
        <w:ind w:left="720" w:hanging="360"/>
        <w:rPr>
          <w:rFonts w:ascii="Roboto" w:cs="Roboto" w:eastAsia="Roboto" w:hAnsi="Roboto"/>
          <w:color w:val="2c2d30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Улучшение пользовательского интерфейса и улучшение навигации (понятность и “доступность”) на сайте может снизить метрику 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BR (показатель отказов)”.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Предоставление/увеличение  персонализированных рекомендаций и рекламных предложений для пользователей позволит повлиять даже на 2 метрики: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увеличит метрику 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кол-во привлеченных пользователей к покупке по рассылке индивидуальных предложений” и тем самым в конечном итоге общую прибыль компании;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а также не упустить уже имеющегося пользователя (т.е. удержание старых клиентов или потенциальных ), что будет влиять на метрику “Abandonment Rate - доля упущенных обращений / звонков / брошенных корзин”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Внедрение уровней или статусов в программу лояльности ( например больше покупаешь больше скидка  или кешбек) приведет к увеличению активности участников или увеличению числа участников этой программы  и тем самым  к большим покупкам (прибыли). Влияние на метрику 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кол-во пользователей состоящие в КЛУБЕ ОЗОН (подписка премиум)”.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hd w:fill="ffffff" w:val="clear"/>
        <w:ind w:left="720" w:hanging="36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Возможность оформления регулярной доставки того или иного товара ( например детское питание или мультивитамины каждый месяц. Возможно по фиксированной цене или со скидкой), чтоб человек не тратил время на повторные заказы, ОЗОН в свою очередь получает гарантированно клиента с постоянным потреблением ( уменьшает риск потери потребителя). Это можно осуществить на основе метрики “как часто (в месяц) пользователь делает заказ на сайте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”.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hd w:fill="ffffff" w:val="clear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Осуществлять комплекс услуг/диверсификацию. Если это услуги туризма , то дополнить страхованием во время путешествия, если это товар, то дополнить его возможностью приобрести услугу его дальнейшего обслуживания ( поставка расходных запчастей) и т.д. Это позволит повлиять на метрику 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средний чек пользователя”, а также на метрику “доход от категории продукта(услуги) или товара  за все время сотрудничества “, возможно дополнить(расширить) категории услуг, что в конечном итоге влияет на качество обслуживания клиентов и доход  самой компании.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