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2.xml" ContentType="application/vnd.ms-office.chartex+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8726809" w:displacedByCustomXml="next"/>
    <w:bookmarkEnd w:id="0" w:displacedByCustomXml="next"/>
    <w:sdt>
      <w:sdtPr>
        <w:rPr>
          <w:lang w:eastAsia="ko-KR"/>
        </w:rPr>
        <w:id w:val="103847998"/>
        <w:docPartObj>
          <w:docPartGallery w:val="Cover Pages"/>
          <w:docPartUnique/>
        </w:docPartObj>
      </w:sdtPr>
      <w:sdtEndPr/>
      <w:sdtContent>
        <w:p w:rsidR="005A2784" w:rsidRDefault="005A2784">
          <w:pPr>
            <w:pStyle w:val="NoSpacing"/>
          </w:pPr>
          <w:r>
            <w:rPr>
              <w:noProof/>
              <w:lang w:eastAsia="ko-K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15T00:00:00Z">
                                      <w:dateFormat w:val="M/d/yyyy"/>
                                      <w:lid w:val="en-US"/>
                                      <w:storeMappedDataAs w:val="dateTime"/>
                                      <w:calendar w:val="gregorian"/>
                                    </w:date>
                                  </w:sdtPr>
                                  <w:sdtEndPr/>
                                  <w:sdtContent>
                                    <w:p w:rsidR="000B3282" w:rsidRDefault="000B3282">
                                      <w:pPr>
                                        <w:pStyle w:val="NoSpacing"/>
                                        <w:jc w:val="right"/>
                                        <w:rPr>
                                          <w:color w:val="FFFFFF" w:themeColor="background1"/>
                                          <w:sz w:val="28"/>
                                          <w:szCs w:val="28"/>
                                        </w:rPr>
                                      </w:pPr>
                                      <w:r>
                                        <w:rPr>
                                          <w:color w:val="FFFFFF" w:themeColor="background1"/>
                                          <w:sz w:val="28"/>
                                          <w:szCs w:val="28"/>
                                        </w:rPr>
                                        <w:t>2/15/2017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2-15T00:00:00Z">
                                <w:dateFormat w:val="M/d/yyyy"/>
                                <w:lid w:val="en-US"/>
                                <w:storeMappedDataAs w:val="dateTime"/>
                                <w:calendar w:val="gregorian"/>
                              </w:date>
                            </w:sdtPr>
                            <w:sdtContent>
                              <w:p w:rsidR="000B3282" w:rsidRDefault="000B3282">
                                <w:pPr>
                                  <w:pStyle w:val="NoSpacing"/>
                                  <w:jc w:val="right"/>
                                  <w:rPr>
                                    <w:color w:val="FFFFFF" w:themeColor="background1"/>
                                    <w:sz w:val="28"/>
                                    <w:szCs w:val="28"/>
                                  </w:rPr>
                                </w:pPr>
                                <w:r>
                                  <w:rPr>
                                    <w:color w:val="FFFFFF" w:themeColor="background1"/>
                                    <w:sz w:val="28"/>
                                    <w:szCs w:val="28"/>
                                  </w:rPr>
                                  <w:t>2/15/2017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5A2784" w:rsidRDefault="00912F31">
          <w:r>
            <w:rPr>
              <w:noProof/>
            </w:rPr>
            <mc:AlternateContent>
              <mc:Choice Requires="wps">
                <w:drawing>
                  <wp:anchor distT="0" distB="0" distL="114300" distR="114300" simplePos="0" relativeHeight="251660288" behindDoc="0" locked="0" layoutInCell="1" allowOverlap="1">
                    <wp:simplePos x="0" y="0"/>
                    <wp:positionH relativeFrom="page">
                      <wp:posOffset>3261360</wp:posOffset>
                    </wp:positionH>
                    <wp:positionV relativeFrom="page">
                      <wp:posOffset>1760220</wp:posOffset>
                    </wp:positionV>
                    <wp:extent cx="3657600" cy="2567940"/>
                    <wp:effectExtent l="0" t="0" r="7620" b="3810"/>
                    <wp:wrapNone/>
                    <wp:docPr id="1" name="Text Box 1"/>
                    <wp:cNvGraphicFramePr/>
                    <a:graphic xmlns:a="http://schemas.openxmlformats.org/drawingml/2006/main">
                      <a:graphicData uri="http://schemas.microsoft.com/office/word/2010/wordprocessingShape">
                        <wps:wsp>
                          <wps:cNvSpPr txBox="1"/>
                          <wps:spPr>
                            <a:xfrm>
                              <a:off x="0" y="0"/>
                              <a:ext cx="3657600" cy="2567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282" w:rsidRDefault="00110F5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B3282">
                                      <w:rPr>
                                        <w:rFonts w:asciiTheme="majorHAnsi" w:eastAsiaTheme="majorEastAsia" w:hAnsiTheme="majorHAnsi" w:cstheme="majorBidi"/>
                                        <w:color w:val="262626" w:themeColor="text1" w:themeTint="D9"/>
                                        <w:sz w:val="72"/>
                                        <w:szCs w:val="72"/>
                                      </w:rPr>
                                      <w:t>Data Analysis:</w:t>
                                    </w:r>
                                  </w:sdtContent>
                                </w:sdt>
                              </w:p>
                              <w:p w:rsidR="000B3282" w:rsidRDefault="00110F5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B3282">
                                      <w:rPr>
                                        <w:color w:val="404040" w:themeColor="text1" w:themeTint="BF"/>
                                        <w:sz w:val="36"/>
                                        <w:szCs w:val="36"/>
                                      </w:rPr>
                                      <w:t>Trends from the 2016 Smarter Balance Test Elementary School Report Cards of the Rapid City Area Schools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6.8pt;margin-top:138.6pt;width:4in;height:202.2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" filled="f" stroked="f" strokeweight=".5pt">
                    <v:textbox inset="0,0,0,0">
                      <w:txbxContent>
                        <w:p w:rsidR="000B3282" w:rsidRDefault="000B328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Analysis:</w:t>
                              </w:r>
                            </w:sdtContent>
                          </w:sdt>
                        </w:p>
                        <w:p w:rsidR="000B3282" w:rsidRDefault="000B328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Trends from the 2016 Smarter Balance Test Elementary School Report Cards of the Rapid City Area Schools</w:t>
                              </w:r>
                            </w:sdtContent>
                          </w:sdt>
                        </w:p>
                      </w:txbxContent>
                    </v:textbox>
                    <w10:wrap anchorx="page" anchory="page"/>
                  </v:shape>
                </w:pict>
              </mc:Fallback>
            </mc:AlternateContent>
          </w:r>
          <w:r w:rsidR="005A2784">
            <w:rPr>
              <w:noProof/>
            </w:rPr>
            <mc:AlternateContent>
              <mc:Choice Requires="wps">
                <w:drawing>
                  <wp:anchor distT="0" distB="0" distL="114300" distR="114300" simplePos="0" relativeHeight="251661312" behindDoc="0" locked="0" layoutInCell="1" allowOverlap="1">
                    <wp:simplePos x="0" y="0"/>
                    <wp:positionH relativeFrom="page">
                      <wp:posOffset>2522220</wp:posOffset>
                    </wp:positionH>
                    <wp:positionV relativeFrom="margin">
                      <wp:align>bottom</wp:align>
                    </wp:positionV>
                    <wp:extent cx="3657600" cy="1005840"/>
                    <wp:effectExtent l="0" t="0" r="7620" b="3810"/>
                    <wp:wrapNone/>
                    <wp:docPr id="32" name="Text Box 32"/>
                    <wp:cNvGraphicFramePr/>
                    <a:graphic xmlns:a="http://schemas.openxmlformats.org/drawingml/2006/main">
                      <a:graphicData uri="http://schemas.microsoft.com/office/word/2010/wordprocessingShape">
                        <wps:wsp>
                          <wps:cNvSpPr txBox="1"/>
                          <wps:spPr>
                            <a:xfrm>
                              <a:off x="0" y="0"/>
                              <a:ext cx="36576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3282" w:rsidRDefault="000B3282" w:rsidP="005A2784">
                                <w:pPr>
                                  <w:spacing w:after="0" w:line="240" w:lineRule="auto"/>
                                  <w:jc w:val="center"/>
                                </w:pPr>
                                <w:r>
                                  <w:t>Zach Policky</w:t>
                                </w:r>
                              </w:p>
                              <w:p w:rsidR="000B3282" w:rsidRDefault="000B3282" w:rsidP="005A2784">
                                <w:pPr>
                                  <w:spacing w:after="0" w:line="240" w:lineRule="auto"/>
                                  <w:jc w:val="center"/>
                                </w:pPr>
                                <w:r>
                                  <w:t>Econ 378</w:t>
                                </w:r>
                              </w:p>
                              <w:p w:rsidR="000B3282" w:rsidRDefault="000B3282" w:rsidP="005A2784">
                                <w:pPr>
                                  <w:spacing w:after="0" w:line="240" w:lineRule="auto"/>
                                  <w:jc w:val="center"/>
                                </w:pPr>
                                <w:r>
                                  <w:t>Dr. Joseph McMurray</w:t>
                                </w:r>
                              </w:p>
                              <w:p w:rsidR="000B3282" w:rsidRDefault="000B3282" w:rsidP="005A2784">
                                <w:pPr>
                                  <w:spacing w:after="0" w:line="240" w:lineRule="auto"/>
                                  <w:jc w:val="center"/>
                                </w:pPr>
                                <w:r>
                                  <w:t>Brigham Young University</w:t>
                                </w:r>
                              </w:p>
                              <w:p w:rsidR="000B3282" w:rsidRDefault="000B3282" w:rsidP="005A278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198.6pt;margin-top:0;width:4in;height:79.2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uEreQIAAFwFAAAOAAAAZHJzL2Uyb0RvYy54bWysVMFu2zAMvQ/YPwi6r3baNSu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" filled="f" stroked="f" strokeweight=".5pt">
                    <v:textbox inset="0,0,0,0">
                      <w:txbxContent>
                        <w:p w:rsidR="000B3282" w:rsidRDefault="000B3282" w:rsidP="005A2784">
                          <w:pPr>
                            <w:spacing w:after="0" w:line="240" w:lineRule="auto"/>
                            <w:jc w:val="center"/>
                          </w:pPr>
                          <w:r>
                            <w:t>Zach Policky</w:t>
                          </w:r>
                        </w:p>
                        <w:p w:rsidR="000B3282" w:rsidRDefault="000B3282" w:rsidP="005A2784">
                          <w:pPr>
                            <w:spacing w:after="0" w:line="240" w:lineRule="auto"/>
                            <w:jc w:val="center"/>
                          </w:pPr>
                          <w:r>
                            <w:t>Econ 378</w:t>
                          </w:r>
                        </w:p>
                        <w:p w:rsidR="000B3282" w:rsidRDefault="000B3282" w:rsidP="005A2784">
                          <w:pPr>
                            <w:spacing w:after="0" w:line="240" w:lineRule="auto"/>
                            <w:jc w:val="center"/>
                          </w:pPr>
                          <w:r>
                            <w:t>Dr. Joseph McMurray</w:t>
                          </w:r>
                        </w:p>
                        <w:p w:rsidR="000B3282" w:rsidRDefault="000B3282" w:rsidP="005A2784">
                          <w:pPr>
                            <w:spacing w:after="0" w:line="240" w:lineRule="auto"/>
                            <w:jc w:val="center"/>
                          </w:pPr>
                          <w:r>
                            <w:t>Brigham Young University</w:t>
                          </w:r>
                        </w:p>
                        <w:p w:rsidR="000B3282" w:rsidRDefault="000B3282" w:rsidP="005A2784">
                          <w:pPr>
                            <w:pStyle w:val="NoSpacing"/>
                            <w:rPr>
                              <w:color w:val="595959" w:themeColor="text1" w:themeTint="A6"/>
                              <w:sz w:val="20"/>
                              <w:szCs w:val="20"/>
                            </w:rPr>
                          </w:pPr>
                        </w:p>
                      </w:txbxContent>
                    </v:textbox>
                    <w10:wrap anchorx="page" anchory="margin"/>
                  </v:shape>
                </w:pict>
              </mc:Fallback>
            </mc:AlternateContent>
          </w:r>
          <w:r w:rsidR="005A2784">
            <w:rPr>
              <w:noProof/>
            </w:rPr>
            <mc:AlternateContent>
              <mc:Choice Requires="wps">
                <w:drawing>
                  <wp:anchor distT="45720" distB="45720" distL="114300" distR="114300" simplePos="0" relativeHeight="251663360" behindDoc="0" locked="0" layoutInCell="1" allowOverlap="1">
                    <wp:simplePos x="0" y="0"/>
                    <wp:positionH relativeFrom="column">
                      <wp:posOffset>2647950</wp:posOffset>
                    </wp:positionH>
                    <wp:positionV relativeFrom="page">
                      <wp:posOffset>3863340</wp:posOffset>
                    </wp:positionV>
                    <wp:extent cx="2731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770" cy="1404620"/>
                            </a:xfrm>
                            <a:prstGeom prst="rect">
                              <a:avLst/>
                            </a:prstGeom>
                            <a:solidFill>
                              <a:srgbClr val="FFFFFF"/>
                            </a:solidFill>
                            <a:ln w="9525">
                              <a:noFill/>
                              <a:miter lim="800000"/>
                              <a:headEnd/>
                              <a:tailEnd/>
                            </a:ln>
                          </wps:spPr>
                          <wps:txbx>
                            <w:txbxContent>
                              <w:p w:rsidR="000B3282" w:rsidRDefault="000B3282" w:rsidP="005A2784">
                                <w:pPr>
                                  <w:spacing w:after="0" w:line="240" w:lineRule="auto"/>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57" type="#_x0000_t202" style="position:absolute;margin-left:208.5pt;margin-top:304.2pt;width:21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" stroked="f">
                    <v:textbox style="mso-fit-shape-to-text:t">
                      <w:txbxContent>
                        <w:p w:rsidR="000B3282" w:rsidRDefault="000B3282" w:rsidP="005A2784">
                          <w:pPr>
                            <w:spacing w:after="0" w:line="240" w:lineRule="auto"/>
                            <w:jc w:val="center"/>
                          </w:pPr>
                        </w:p>
                      </w:txbxContent>
                    </v:textbox>
                    <w10:wrap type="square" anchory="page"/>
                  </v:shape>
                </w:pict>
              </mc:Fallback>
            </mc:AlternateContent>
          </w:r>
          <w:r w:rsidR="005A2784">
            <w:br w:type="page"/>
          </w:r>
        </w:p>
      </w:sdtContent>
    </w:sdt>
    <w:p w:rsidR="004A189F" w:rsidRPr="008A7E34" w:rsidRDefault="001330B0" w:rsidP="001330B0">
      <w:pPr>
        <w:ind w:firstLine="720"/>
        <w:rPr>
          <w:sz w:val="24"/>
          <w:szCs w:val="24"/>
        </w:rPr>
      </w:pPr>
      <w:r w:rsidRPr="008A7E34">
        <w:rPr>
          <w:sz w:val="24"/>
          <w:szCs w:val="24"/>
        </w:rPr>
        <w:lastRenderedPageBreak/>
        <w:t>The following data set is a compilation of the “Report Card” given to each school in South Dakota by the SD Department of Education after students complete the Smarter Balance standardized tests. This test determines student’s proficiency in Math and English, specifically reading and writing. The data originally presented could be potentially confusing to School Boards who wish to improve these test scores. The purpose of the following analysis is to help the Rapid City Area Schools Board of Education understand some of the causes of low test scores. The School Board might currently wonder “How</w:t>
      </w:r>
      <w:r w:rsidR="00D84534" w:rsidRPr="008A7E34">
        <w:rPr>
          <w:sz w:val="24"/>
          <w:szCs w:val="24"/>
        </w:rPr>
        <w:t xml:space="preserve"> does attendance in school affect </w:t>
      </w:r>
      <w:r w:rsidR="004066AC" w:rsidRPr="008A7E34">
        <w:rPr>
          <w:sz w:val="24"/>
          <w:szCs w:val="24"/>
        </w:rPr>
        <w:t>student</w:t>
      </w:r>
      <w:r w:rsidR="00D84534" w:rsidRPr="008A7E34">
        <w:rPr>
          <w:sz w:val="24"/>
          <w:szCs w:val="24"/>
        </w:rPr>
        <w:t xml:space="preserve"> test scores?” </w:t>
      </w:r>
      <w:r w:rsidRPr="008A7E34">
        <w:rPr>
          <w:sz w:val="24"/>
          <w:szCs w:val="24"/>
        </w:rPr>
        <w:t xml:space="preserve"> </w:t>
      </w:r>
      <w:r w:rsidR="00D84534" w:rsidRPr="008A7E34">
        <w:rPr>
          <w:sz w:val="24"/>
          <w:szCs w:val="24"/>
        </w:rPr>
        <w:t>or “What factors contribute to high test scores?” or “How do Title 1 Schools preform compared to other schools?”</w:t>
      </w:r>
    </w:p>
    <w:p w:rsidR="004360B2" w:rsidRPr="008A7E34" w:rsidRDefault="00FD6C3A" w:rsidP="001330B0">
      <w:pPr>
        <w:ind w:firstLine="720"/>
        <w:rPr>
          <w:sz w:val="24"/>
          <w:szCs w:val="24"/>
        </w:rPr>
      </w:pPr>
      <w:r w:rsidRPr="008A7E34">
        <w:rPr>
          <w:sz w:val="24"/>
          <w:szCs w:val="24"/>
        </w:rPr>
        <w:t xml:space="preserve">All </w:t>
      </w:r>
      <w:r w:rsidR="004360B2" w:rsidRPr="008A7E34">
        <w:rPr>
          <w:sz w:val="24"/>
          <w:szCs w:val="24"/>
        </w:rPr>
        <w:t>1</w:t>
      </w:r>
      <w:r w:rsidR="009323E1" w:rsidRPr="008A7E34">
        <w:rPr>
          <w:sz w:val="24"/>
          <w:szCs w:val="24"/>
        </w:rPr>
        <w:t>5</w:t>
      </w:r>
      <w:r w:rsidR="004360B2" w:rsidRPr="008A7E34">
        <w:rPr>
          <w:sz w:val="24"/>
          <w:szCs w:val="24"/>
        </w:rPr>
        <w:t xml:space="preserve"> Elementary Schools in the Rapid City Area Schools</w:t>
      </w:r>
      <w:r w:rsidRPr="008A7E34">
        <w:rPr>
          <w:sz w:val="24"/>
          <w:szCs w:val="24"/>
        </w:rPr>
        <w:t xml:space="preserve"> are represented in this data set so the entire population is represented</w:t>
      </w:r>
      <w:r w:rsidR="004360B2" w:rsidRPr="008A7E34">
        <w:rPr>
          <w:sz w:val="24"/>
          <w:szCs w:val="24"/>
        </w:rPr>
        <w:t>. Some of the variables of interest are the percent of the Students who attended 94% or more of enrolled days, percent of native American Stu</w:t>
      </w:r>
      <w:r w:rsidR="00211218" w:rsidRPr="008A7E34">
        <w:rPr>
          <w:sz w:val="24"/>
          <w:szCs w:val="24"/>
        </w:rPr>
        <w:t xml:space="preserve">dents, percent of GAP students. In the data </w:t>
      </w:r>
      <w:r w:rsidRPr="008A7E34">
        <w:rPr>
          <w:sz w:val="24"/>
          <w:szCs w:val="24"/>
        </w:rPr>
        <w:t>table, variable</w:t>
      </w:r>
      <w:r w:rsidR="00211218" w:rsidRPr="008A7E34">
        <w:rPr>
          <w:sz w:val="24"/>
          <w:szCs w:val="24"/>
        </w:rPr>
        <w:t xml:space="preserve"> numbers are in percent units. </w:t>
      </w:r>
    </w:p>
    <w:tbl>
      <w:tblPr>
        <w:tblW w:w="9680" w:type="dxa"/>
        <w:tblLook w:val="04A0" w:firstRow="1" w:lastRow="0" w:firstColumn="1" w:lastColumn="0" w:noHBand="0" w:noVBand="1"/>
      </w:tblPr>
      <w:tblGrid>
        <w:gridCol w:w="1950"/>
        <w:gridCol w:w="1240"/>
        <w:gridCol w:w="1230"/>
        <w:gridCol w:w="941"/>
        <w:gridCol w:w="1380"/>
        <w:gridCol w:w="1560"/>
        <w:gridCol w:w="1380"/>
      </w:tblGrid>
      <w:tr w:rsidR="001C0476" w:rsidRPr="001C0476" w:rsidTr="001C0476">
        <w:trPr>
          <w:trHeight w:val="408"/>
        </w:trPr>
        <w:tc>
          <w:tcPr>
            <w:tcW w:w="9680" w:type="dxa"/>
            <w:gridSpan w:val="7"/>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center"/>
              <w:rPr>
                <w:rFonts w:ascii="Calibri" w:eastAsia="Times New Roman" w:hAnsi="Calibri" w:cs="Calibri"/>
                <w:color w:val="000000"/>
                <w:sz w:val="32"/>
                <w:szCs w:val="32"/>
              </w:rPr>
            </w:pPr>
            <w:r w:rsidRPr="001C0476">
              <w:rPr>
                <w:rFonts w:ascii="Calibri" w:eastAsia="Times New Roman" w:hAnsi="Calibri" w:cs="Calibri"/>
                <w:color w:val="000000"/>
                <w:sz w:val="32"/>
                <w:szCs w:val="32"/>
              </w:rPr>
              <w:t>Elementary Test Scores in RCAS</w:t>
            </w:r>
          </w:p>
        </w:tc>
      </w:tr>
      <w:tr w:rsidR="001C0476" w:rsidRPr="001C0476" w:rsidTr="001C0476">
        <w:trPr>
          <w:trHeight w:val="1152"/>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School</w:t>
            </w:r>
          </w:p>
        </w:tc>
        <w:tc>
          <w:tcPr>
            <w:tcW w:w="1240" w:type="dxa"/>
            <w:tcBorders>
              <w:top w:val="nil"/>
              <w:left w:val="nil"/>
              <w:bottom w:val="nil"/>
              <w:right w:val="nil"/>
            </w:tcBorders>
            <w:shd w:val="clear" w:color="auto" w:fill="auto"/>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 xml:space="preserve">Total Enrollment </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Title 1 (Y</w:t>
            </w:r>
            <w:r w:rsidR="00910028">
              <w:rPr>
                <w:rFonts w:ascii="Calibri" w:eastAsia="Times New Roman" w:hAnsi="Calibri" w:cs="Calibri"/>
                <w:color w:val="000000"/>
              </w:rPr>
              <w:t>=1</w:t>
            </w:r>
            <w:r w:rsidRPr="001C0476">
              <w:rPr>
                <w:rFonts w:ascii="Calibri" w:eastAsia="Times New Roman" w:hAnsi="Calibri" w:cs="Calibri"/>
                <w:color w:val="000000"/>
              </w:rPr>
              <w:t>/N</w:t>
            </w:r>
            <w:r w:rsidR="00910028">
              <w:rPr>
                <w:rFonts w:ascii="Calibri" w:eastAsia="Times New Roman" w:hAnsi="Calibri" w:cs="Calibri"/>
                <w:color w:val="000000"/>
              </w:rPr>
              <w:t>=0</w:t>
            </w:r>
            <w:r w:rsidRPr="001C0476">
              <w:rPr>
                <w:rFonts w:ascii="Calibri" w:eastAsia="Times New Roman" w:hAnsi="Calibri" w:cs="Calibri"/>
                <w:color w:val="000000"/>
              </w:rPr>
              <w:t>)</w:t>
            </w:r>
          </w:p>
        </w:tc>
        <w:tc>
          <w:tcPr>
            <w:tcW w:w="940" w:type="dxa"/>
            <w:tcBorders>
              <w:top w:val="nil"/>
              <w:left w:val="nil"/>
              <w:bottom w:val="nil"/>
              <w:right w:val="nil"/>
            </w:tcBorders>
            <w:shd w:val="clear" w:color="auto" w:fill="auto"/>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Percent    GAP (%)</w:t>
            </w:r>
          </w:p>
        </w:tc>
        <w:tc>
          <w:tcPr>
            <w:tcW w:w="1380" w:type="dxa"/>
            <w:tcBorders>
              <w:top w:val="nil"/>
              <w:left w:val="nil"/>
              <w:bottom w:val="nil"/>
              <w:right w:val="nil"/>
            </w:tcBorders>
            <w:shd w:val="clear" w:color="auto" w:fill="auto"/>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Percent Native American (%)</w:t>
            </w:r>
          </w:p>
        </w:tc>
        <w:tc>
          <w:tcPr>
            <w:tcW w:w="1560" w:type="dxa"/>
            <w:tcBorders>
              <w:top w:val="nil"/>
              <w:left w:val="nil"/>
              <w:bottom w:val="nil"/>
              <w:right w:val="nil"/>
            </w:tcBorders>
            <w:shd w:val="clear" w:color="auto" w:fill="auto"/>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Percent Attending 94% of Enrolled Days (%)</w:t>
            </w:r>
          </w:p>
        </w:tc>
        <w:tc>
          <w:tcPr>
            <w:tcW w:w="1380" w:type="dxa"/>
            <w:tcBorders>
              <w:top w:val="nil"/>
              <w:left w:val="nil"/>
              <w:bottom w:val="nil"/>
              <w:right w:val="nil"/>
            </w:tcBorders>
            <w:shd w:val="clear" w:color="auto" w:fill="auto"/>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Multi Year Math Proficiency (%)</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Black Hawk</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482</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50.21</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6.43</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77.39</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36.9</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Canyon Lake</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417</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68.82</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21.34</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67.63</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46.60</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Corral Drive</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502</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000000" w:fill="FFC7CE"/>
            <w:noWrap/>
            <w:vAlign w:val="bottom"/>
            <w:hideMark/>
          </w:tcPr>
          <w:p w:rsidR="001C0476" w:rsidRPr="001C0476" w:rsidRDefault="001C0476" w:rsidP="001C0476">
            <w:pPr>
              <w:spacing w:after="0" w:line="240" w:lineRule="auto"/>
              <w:jc w:val="right"/>
              <w:rPr>
                <w:rFonts w:ascii="Calibri" w:eastAsia="Times New Roman" w:hAnsi="Calibri" w:cs="Calibri"/>
                <w:color w:val="9C0006"/>
              </w:rPr>
            </w:pPr>
            <w:r w:rsidRPr="001C0476">
              <w:rPr>
                <w:rFonts w:ascii="Calibri" w:eastAsia="Times New Roman" w:hAnsi="Calibri" w:cs="Calibri"/>
                <w:color w:val="9C0006"/>
              </w:rPr>
              <w:t>22.91</w:t>
            </w:r>
          </w:p>
        </w:tc>
        <w:tc>
          <w:tcPr>
            <w:tcW w:w="1380" w:type="dxa"/>
            <w:tcBorders>
              <w:top w:val="nil"/>
              <w:left w:val="nil"/>
              <w:bottom w:val="nil"/>
              <w:right w:val="nil"/>
            </w:tcBorders>
            <w:shd w:val="clear" w:color="000000" w:fill="FFC7CE"/>
            <w:noWrap/>
            <w:vAlign w:val="bottom"/>
            <w:hideMark/>
          </w:tcPr>
          <w:p w:rsidR="001C0476" w:rsidRPr="001C0476" w:rsidRDefault="001C0476" w:rsidP="001C0476">
            <w:pPr>
              <w:spacing w:after="0" w:line="240" w:lineRule="auto"/>
              <w:jc w:val="right"/>
              <w:rPr>
                <w:rFonts w:ascii="Calibri" w:eastAsia="Times New Roman" w:hAnsi="Calibri" w:cs="Calibri"/>
                <w:color w:val="9C0006"/>
              </w:rPr>
            </w:pPr>
            <w:r w:rsidRPr="001C0476">
              <w:rPr>
                <w:rFonts w:ascii="Calibri" w:eastAsia="Times New Roman" w:hAnsi="Calibri" w:cs="Calibri"/>
                <w:color w:val="9C0006"/>
              </w:rPr>
              <w:t>2.19</w:t>
            </w:r>
          </w:p>
        </w:tc>
        <w:tc>
          <w:tcPr>
            <w:tcW w:w="156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85.26</w:t>
            </w:r>
          </w:p>
        </w:tc>
        <w:tc>
          <w:tcPr>
            <w:tcW w:w="138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71.60</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 xml:space="preserve">General Beadle </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591</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100.00</w:t>
            </w:r>
          </w:p>
        </w:tc>
        <w:tc>
          <w:tcPr>
            <w:tcW w:w="138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63.96</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60.91</w:t>
            </w:r>
          </w:p>
        </w:tc>
        <w:tc>
          <w:tcPr>
            <w:tcW w:w="1380" w:type="dxa"/>
            <w:tcBorders>
              <w:top w:val="nil"/>
              <w:left w:val="nil"/>
              <w:bottom w:val="nil"/>
              <w:right w:val="nil"/>
            </w:tcBorders>
            <w:shd w:val="clear" w:color="000000" w:fill="FFC7CE"/>
            <w:noWrap/>
            <w:vAlign w:val="bottom"/>
            <w:hideMark/>
          </w:tcPr>
          <w:p w:rsidR="001C0476" w:rsidRPr="001C0476" w:rsidRDefault="001C0476" w:rsidP="001C0476">
            <w:pPr>
              <w:spacing w:after="0" w:line="240" w:lineRule="auto"/>
              <w:jc w:val="right"/>
              <w:rPr>
                <w:rFonts w:ascii="Calibri" w:eastAsia="Times New Roman" w:hAnsi="Calibri" w:cs="Calibri"/>
                <w:color w:val="9C0006"/>
              </w:rPr>
            </w:pPr>
            <w:r w:rsidRPr="001C0476">
              <w:rPr>
                <w:rFonts w:ascii="Calibri" w:eastAsia="Times New Roman" w:hAnsi="Calibri" w:cs="Calibri"/>
                <w:color w:val="9C0006"/>
              </w:rPr>
              <w:t>20.16</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Grandview</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519</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53.18</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16.57</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75.34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44.04</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Horace Mann</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387</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100.00</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44.96</w:t>
            </w:r>
          </w:p>
        </w:tc>
        <w:tc>
          <w:tcPr>
            <w:tcW w:w="1560" w:type="dxa"/>
            <w:tcBorders>
              <w:top w:val="nil"/>
              <w:left w:val="nil"/>
              <w:bottom w:val="nil"/>
              <w:right w:val="nil"/>
            </w:tcBorders>
            <w:shd w:val="clear" w:color="000000" w:fill="FFC7CE"/>
            <w:noWrap/>
            <w:vAlign w:val="bottom"/>
            <w:hideMark/>
          </w:tcPr>
          <w:p w:rsidR="001C0476" w:rsidRPr="001C0476" w:rsidRDefault="001C0476" w:rsidP="001C0476">
            <w:pPr>
              <w:spacing w:after="0" w:line="240" w:lineRule="auto"/>
              <w:jc w:val="right"/>
              <w:rPr>
                <w:rFonts w:ascii="Calibri" w:eastAsia="Times New Roman" w:hAnsi="Calibri" w:cs="Calibri"/>
                <w:color w:val="9C0006"/>
              </w:rPr>
            </w:pPr>
            <w:r w:rsidRPr="001C0476">
              <w:rPr>
                <w:rFonts w:ascii="Calibri" w:eastAsia="Times New Roman" w:hAnsi="Calibri" w:cs="Calibri"/>
                <w:color w:val="9C0006"/>
              </w:rPr>
              <w:t>60.47</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36.84</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proofErr w:type="spellStart"/>
            <w:r w:rsidRPr="001C0476">
              <w:rPr>
                <w:rFonts w:ascii="Calibri" w:eastAsia="Times New Roman" w:hAnsi="Calibri" w:cs="Calibri"/>
                <w:color w:val="000000"/>
              </w:rPr>
              <w:t>Knollwood</w:t>
            </w:r>
            <w:proofErr w:type="spellEnd"/>
            <w:r w:rsidRPr="001C0476">
              <w:rPr>
                <w:rFonts w:ascii="Calibri" w:eastAsia="Times New Roman" w:hAnsi="Calibri" w:cs="Calibri"/>
                <w:color w:val="000000"/>
              </w:rPr>
              <w:t xml:space="preserve"> </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550</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100.00</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54.91</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63.45</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33.73</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Meadowbrook</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564</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40.96</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8.69</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80.14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62.07</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Pinedale</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440</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34.77</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2.73</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80.45</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63.38</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Rapid Valley</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591</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55.33</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9.98</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77.83</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37.60</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proofErr w:type="spellStart"/>
            <w:r w:rsidRPr="001C0476">
              <w:rPr>
                <w:rFonts w:ascii="Calibri" w:eastAsia="Times New Roman" w:hAnsi="Calibri" w:cs="Calibri"/>
                <w:color w:val="000000"/>
              </w:rPr>
              <w:t>Robbinsdale</w:t>
            </w:r>
            <w:proofErr w:type="spellEnd"/>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517</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100.00</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29.21</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66.34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50.65</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South Canyon</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294</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58.84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9.64</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72.11</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55.65</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South Park</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390</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jc w:val="right"/>
              <w:rPr>
                <w:rFonts w:ascii="Calibri" w:eastAsia="Times New Roman" w:hAnsi="Calibri" w:cs="Calibri"/>
                <w:color w:val="006100"/>
              </w:rPr>
            </w:pPr>
            <w:r w:rsidRPr="001C0476">
              <w:rPr>
                <w:rFonts w:ascii="Calibri" w:eastAsia="Times New Roman" w:hAnsi="Calibri" w:cs="Calibri"/>
                <w:color w:val="006100"/>
              </w:rPr>
              <w:t>100.00</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35.38</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68.97</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34.46</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Valleyview</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704</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63.21</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18.61</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75.43</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50.39</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 xml:space="preserve">Wilson </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397</w:t>
            </w: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0</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55.92</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20.40</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72.54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52.96</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 xml:space="preserve">District Total </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7345</w:t>
            </w:r>
          </w:p>
        </w:tc>
        <w:tc>
          <w:tcPr>
            <w:tcW w:w="1230" w:type="dxa"/>
            <w:tcBorders>
              <w:top w:val="nil"/>
              <w:left w:val="nil"/>
              <w:bottom w:val="nil"/>
              <w:right w:val="nil"/>
            </w:tcBorders>
            <w:shd w:val="clear" w:color="auto" w:fill="auto"/>
            <w:noWrap/>
            <w:vAlign w:val="bottom"/>
            <w:hideMark/>
          </w:tcPr>
          <w:p w:rsidR="001C0476" w:rsidRPr="001C0476" w:rsidRDefault="00910028" w:rsidP="001C0476">
            <w:pPr>
              <w:spacing w:after="0" w:line="240" w:lineRule="auto"/>
              <w:jc w:val="right"/>
              <w:rPr>
                <w:rFonts w:ascii="Calibri" w:eastAsia="Times New Roman" w:hAnsi="Calibri" w:cs="Calibri"/>
                <w:color w:val="000000"/>
              </w:rPr>
            </w:pPr>
            <w:r>
              <w:rPr>
                <w:rFonts w:ascii="Calibri" w:eastAsia="Times New Roman" w:hAnsi="Calibri" w:cs="Calibri"/>
                <w:color w:val="000000"/>
              </w:rPr>
              <w:t>9/1</w:t>
            </w:r>
            <w:r w:rsidR="009323E1">
              <w:rPr>
                <w:rFonts w:ascii="Calibri" w:eastAsia="Times New Roman" w:hAnsi="Calibri" w:cs="Calibri"/>
                <w:color w:val="000000"/>
              </w:rPr>
              <w:t>5</w:t>
            </w: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r>
      <w:tr w:rsidR="001C0476" w:rsidRPr="001C0476" w:rsidTr="001C0476">
        <w:trPr>
          <w:trHeight w:val="288"/>
        </w:trPr>
        <w:tc>
          <w:tcPr>
            <w:tcW w:w="1950" w:type="dxa"/>
            <w:tcBorders>
              <w:top w:val="nil"/>
              <w:left w:val="nil"/>
              <w:bottom w:val="nil"/>
              <w:right w:val="nil"/>
            </w:tcBorders>
            <w:shd w:val="clear" w:color="auto" w:fill="auto"/>
            <w:noWrap/>
            <w:vAlign w:val="bottom"/>
          </w:tcPr>
          <w:p w:rsidR="001C0476" w:rsidRPr="001C0476" w:rsidRDefault="001C0476" w:rsidP="001C0476">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tcPr>
          <w:p w:rsidR="001C0476" w:rsidRPr="001C0476" w:rsidRDefault="001C0476" w:rsidP="001C0476">
            <w:pPr>
              <w:spacing w:after="0" w:line="240" w:lineRule="auto"/>
              <w:jc w:val="right"/>
              <w:rPr>
                <w:rFonts w:ascii="Calibri" w:eastAsia="Times New Roman" w:hAnsi="Calibri" w:cs="Calibri"/>
                <w:color w:val="000000"/>
              </w:rPr>
            </w:pPr>
          </w:p>
        </w:tc>
        <w:tc>
          <w:tcPr>
            <w:tcW w:w="1230" w:type="dxa"/>
            <w:tcBorders>
              <w:top w:val="nil"/>
              <w:left w:val="nil"/>
              <w:bottom w:val="nil"/>
              <w:right w:val="nil"/>
            </w:tcBorders>
            <w:shd w:val="clear" w:color="auto" w:fill="auto"/>
            <w:noWrap/>
            <w:vAlign w:val="bottom"/>
          </w:tcPr>
          <w:p w:rsidR="001C0476" w:rsidRPr="001C0476" w:rsidRDefault="001C0476" w:rsidP="001C0476">
            <w:pPr>
              <w:spacing w:after="0" w:line="240" w:lineRule="auto"/>
              <w:jc w:val="right"/>
              <w:rPr>
                <w:rFonts w:ascii="Calibri" w:eastAsia="Times New Roman" w:hAnsi="Calibri" w:cs="Calibri"/>
                <w:color w:val="000000"/>
              </w:rPr>
            </w:pPr>
          </w:p>
        </w:tc>
        <w:tc>
          <w:tcPr>
            <w:tcW w:w="940" w:type="dxa"/>
            <w:tcBorders>
              <w:top w:val="nil"/>
              <w:left w:val="nil"/>
              <w:bottom w:val="nil"/>
              <w:right w:val="nil"/>
            </w:tcBorders>
            <w:shd w:val="clear" w:color="auto" w:fill="auto"/>
            <w:noWrap/>
            <w:vAlign w:val="bottom"/>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1380" w:type="dxa"/>
            <w:tcBorders>
              <w:top w:val="nil"/>
              <w:left w:val="nil"/>
              <w:bottom w:val="nil"/>
              <w:right w:val="nil"/>
            </w:tcBorders>
            <w:shd w:val="clear" w:color="auto" w:fill="auto"/>
            <w:noWrap/>
            <w:vAlign w:val="bottom"/>
          </w:tcPr>
          <w:p w:rsidR="001C0476" w:rsidRPr="001C0476" w:rsidRDefault="001C0476" w:rsidP="001C0476">
            <w:pPr>
              <w:spacing w:after="0" w:line="240" w:lineRule="auto"/>
              <w:rPr>
                <w:rFonts w:ascii="Times New Roman" w:eastAsia="Times New Roman" w:hAnsi="Times New Roman" w:cs="Times New Roman"/>
                <w:sz w:val="20"/>
                <w:szCs w:val="20"/>
              </w:rPr>
            </w:pP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b/>
                <w:color w:val="000000"/>
              </w:rPr>
            </w:pPr>
            <w:r w:rsidRPr="001C0476">
              <w:rPr>
                <w:rFonts w:ascii="Calibri" w:eastAsia="Times New Roman" w:hAnsi="Calibri" w:cs="Calibri"/>
                <w:b/>
                <w:color w:val="000000"/>
              </w:rPr>
              <w:t>Weighted Mean</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b/>
                <w:color w:val="000000"/>
              </w:rPr>
            </w:pP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b/>
                <w:sz w:val="20"/>
                <w:szCs w:val="20"/>
              </w:rPr>
            </w:pP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b/>
                <w:color w:val="000000"/>
              </w:rPr>
            </w:pPr>
            <w:r w:rsidRPr="001C0476">
              <w:rPr>
                <w:rFonts w:ascii="Calibri" w:eastAsia="Times New Roman" w:hAnsi="Calibri" w:cs="Calibri"/>
                <w:b/>
                <w:color w:val="000000"/>
              </w:rPr>
              <w:t>66.79</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b/>
                <w:color w:val="000000"/>
              </w:rPr>
            </w:pPr>
            <w:r w:rsidRPr="001C0476">
              <w:rPr>
                <w:rFonts w:ascii="Calibri" w:eastAsia="Times New Roman" w:hAnsi="Calibri" w:cs="Calibri"/>
                <w:b/>
                <w:color w:val="000000"/>
              </w:rPr>
              <w:t>23.42</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b/>
                <w:color w:val="000000"/>
              </w:rPr>
            </w:pPr>
            <w:r w:rsidRPr="001C0476">
              <w:rPr>
                <w:rFonts w:ascii="Calibri" w:eastAsia="Times New Roman" w:hAnsi="Calibri" w:cs="Calibri"/>
                <w:b/>
                <w:color w:val="000000"/>
              </w:rPr>
              <w:t>72.51</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b/>
                <w:color w:val="000000"/>
              </w:rPr>
            </w:pPr>
            <w:r w:rsidRPr="001C0476">
              <w:rPr>
                <w:rFonts w:ascii="Calibri" w:eastAsia="Times New Roman" w:hAnsi="Calibri" w:cs="Calibri"/>
                <w:b/>
                <w:color w:val="000000"/>
              </w:rPr>
              <w:t>46.06</w:t>
            </w:r>
          </w:p>
        </w:tc>
      </w:tr>
      <w:tr w:rsidR="001C0476" w:rsidRPr="001C0476" w:rsidTr="001C0476">
        <w:trPr>
          <w:trHeight w:val="288"/>
        </w:trPr>
        <w:tc>
          <w:tcPr>
            <w:tcW w:w="1950" w:type="dxa"/>
            <w:tcBorders>
              <w:top w:val="nil"/>
              <w:left w:val="nil"/>
              <w:bottom w:val="nil"/>
              <w:right w:val="nil"/>
            </w:tcBorders>
            <w:shd w:val="clear" w:color="000000" w:fill="FFC7CE"/>
            <w:noWrap/>
            <w:vAlign w:val="bottom"/>
            <w:hideMark/>
          </w:tcPr>
          <w:p w:rsidR="001C0476" w:rsidRPr="001C0476" w:rsidRDefault="001C0476" w:rsidP="001C0476">
            <w:pPr>
              <w:spacing w:after="0" w:line="240" w:lineRule="auto"/>
              <w:rPr>
                <w:rFonts w:ascii="Calibri" w:eastAsia="Times New Roman" w:hAnsi="Calibri" w:cs="Calibri"/>
                <w:color w:val="9C0006"/>
              </w:rPr>
            </w:pPr>
            <w:r w:rsidRPr="001C0476">
              <w:rPr>
                <w:rFonts w:ascii="Calibri" w:eastAsia="Times New Roman" w:hAnsi="Calibri" w:cs="Calibri"/>
                <w:color w:val="9C0006"/>
              </w:rPr>
              <w:t>Minimum</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9C0006"/>
              </w:rPr>
            </w:pP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22.9084</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2.19</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60.47</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20.16</w:t>
            </w:r>
          </w:p>
        </w:tc>
      </w:tr>
      <w:tr w:rsidR="001C0476" w:rsidRPr="001C0476" w:rsidTr="001C0476">
        <w:trPr>
          <w:trHeight w:val="288"/>
        </w:trPr>
        <w:tc>
          <w:tcPr>
            <w:tcW w:w="1950" w:type="dxa"/>
            <w:tcBorders>
              <w:top w:val="nil"/>
              <w:left w:val="nil"/>
              <w:bottom w:val="nil"/>
              <w:right w:val="nil"/>
            </w:tcBorders>
            <w:shd w:val="clear" w:color="000000" w:fill="C6EFCE"/>
            <w:noWrap/>
            <w:vAlign w:val="bottom"/>
            <w:hideMark/>
          </w:tcPr>
          <w:p w:rsidR="001C0476" w:rsidRPr="001C0476" w:rsidRDefault="001C0476" w:rsidP="001C0476">
            <w:pPr>
              <w:spacing w:after="0" w:line="240" w:lineRule="auto"/>
              <w:rPr>
                <w:rFonts w:ascii="Calibri" w:eastAsia="Times New Roman" w:hAnsi="Calibri" w:cs="Calibri"/>
                <w:color w:val="006100"/>
              </w:rPr>
            </w:pPr>
            <w:r w:rsidRPr="001C0476">
              <w:rPr>
                <w:rFonts w:ascii="Calibri" w:eastAsia="Times New Roman" w:hAnsi="Calibri" w:cs="Calibri"/>
                <w:color w:val="006100"/>
              </w:rPr>
              <w:t>Maximum</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6100"/>
              </w:rPr>
            </w:pP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100</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63.96</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85.26</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71.6</w:t>
            </w:r>
          </w:p>
        </w:tc>
      </w:tr>
      <w:tr w:rsidR="001C0476" w:rsidRPr="001C0476" w:rsidTr="001C0476">
        <w:trPr>
          <w:trHeight w:val="288"/>
        </w:trPr>
        <w:tc>
          <w:tcPr>
            <w:tcW w:w="195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r w:rsidRPr="001C0476">
              <w:rPr>
                <w:rFonts w:ascii="Calibri" w:eastAsia="Times New Roman" w:hAnsi="Calibri" w:cs="Calibri"/>
                <w:color w:val="000000"/>
              </w:rPr>
              <w:t>Standard Deviation</w:t>
            </w:r>
          </w:p>
        </w:tc>
        <w:tc>
          <w:tcPr>
            <w:tcW w:w="12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Calibri" w:eastAsia="Times New Roman" w:hAnsi="Calibri" w:cs="Calibri"/>
                <w:color w:val="000000"/>
              </w:rPr>
            </w:pPr>
          </w:p>
        </w:tc>
        <w:tc>
          <w:tcPr>
            <w:tcW w:w="123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25.72</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18.46</w:t>
            </w:r>
          </w:p>
        </w:tc>
        <w:tc>
          <w:tcPr>
            <w:tcW w:w="156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7.25</w:t>
            </w:r>
          </w:p>
        </w:tc>
        <w:tc>
          <w:tcPr>
            <w:tcW w:w="1380" w:type="dxa"/>
            <w:tcBorders>
              <w:top w:val="nil"/>
              <w:left w:val="nil"/>
              <w:bottom w:val="nil"/>
              <w:right w:val="nil"/>
            </w:tcBorders>
            <w:shd w:val="clear" w:color="auto" w:fill="auto"/>
            <w:noWrap/>
            <w:vAlign w:val="bottom"/>
            <w:hideMark/>
          </w:tcPr>
          <w:p w:rsidR="001C0476" w:rsidRPr="001C0476" w:rsidRDefault="001C0476" w:rsidP="001C0476">
            <w:pPr>
              <w:spacing w:after="0" w:line="240" w:lineRule="auto"/>
              <w:jc w:val="right"/>
              <w:rPr>
                <w:rFonts w:ascii="Calibri" w:eastAsia="Times New Roman" w:hAnsi="Calibri" w:cs="Calibri"/>
                <w:color w:val="000000"/>
              </w:rPr>
            </w:pPr>
            <w:r w:rsidRPr="001C0476">
              <w:rPr>
                <w:rFonts w:ascii="Calibri" w:eastAsia="Times New Roman" w:hAnsi="Calibri" w:cs="Calibri"/>
                <w:color w:val="000000"/>
              </w:rPr>
              <w:t>13.13</w:t>
            </w:r>
          </w:p>
        </w:tc>
      </w:tr>
    </w:tbl>
    <w:p w:rsidR="000C5E79" w:rsidRDefault="000C5E79" w:rsidP="001330B0">
      <w:pPr>
        <w:ind w:firstLine="720"/>
      </w:pPr>
    </w:p>
    <w:p w:rsidR="000C5E79" w:rsidRDefault="000C5E79" w:rsidP="006D1206"/>
    <w:p w:rsidR="000C5E79" w:rsidRDefault="000C5E79" w:rsidP="001330B0">
      <w:pPr>
        <w:ind w:firstLine="720"/>
      </w:pPr>
    </w:p>
    <w:p w:rsidR="000C5E79" w:rsidRPr="008A7E34" w:rsidRDefault="001C0476" w:rsidP="00910028">
      <w:pPr>
        <w:ind w:firstLine="720"/>
        <w:rPr>
          <w:sz w:val="24"/>
          <w:szCs w:val="24"/>
        </w:rPr>
      </w:pPr>
      <w:r w:rsidRPr="008A7E34">
        <w:rPr>
          <w:sz w:val="24"/>
          <w:szCs w:val="24"/>
        </w:rPr>
        <w:t>Figure one shows all of the school’s data from the 2016 Smarter Balance Test report cards. H</w:t>
      </w:r>
      <w:bookmarkStart w:id="1" w:name="_GoBack"/>
      <w:bookmarkEnd w:id="1"/>
      <w:r w:rsidRPr="008A7E34">
        <w:rPr>
          <w:sz w:val="24"/>
          <w:szCs w:val="24"/>
        </w:rPr>
        <w:t>ighlighted for each variable is the minimum and maximum. Also beneath the graph the weighted mean, minimum, maximum, and standard dev</w:t>
      </w:r>
      <w:r w:rsidR="00910028" w:rsidRPr="008A7E34">
        <w:rPr>
          <w:sz w:val="24"/>
          <w:szCs w:val="24"/>
        </w:rPr>
        <w:t>iations</w:t>
      </w:r>
      <w:r w:rsidR="009323E1" w:rsidRPr="008A7E34">
        <w:rPr>
          <w:sz w:val="24"/>
          <w:szCs w:val="24"/>
        </w:rPr>
        <w:t xml:space="preserve"> are shown. Nine of the fifteen</w:t>
      </w:r>
      <w:r w:rsidRPr="008A7E34">
        <w:rPr>
          <w:sz w:val="24"/>
          <w:szCs w:val="24"/>
        </w:rPr>
        <w:t xml:space="preserve"> school</w:t>
      </w:r>
      <w:r w:rsidR="00910028" w:rsidRPr="008A7E34">
        <w:rPr>
          <w:sz w:val="24"/>
          <w:szCs w:val="24"/>
        </w:rPr>
        <w:t>s</w:t>
      </w:r>
      <w:r w:rsidRPr="008A7E34">
        <w:rPr>
          <w:sz w:val="24"/>
          <w:szCs w:val="24"/>
        </w:rPr>
        <w:t xml:space="preserve"> are shown to be Title 1 schools (1) or Non-Title 1 schools (0). Title 1 schools are defined as schools with high numbers or high percentages of children from low-income families. Another variable is the percent of GAP students</w:t>
      </w:r>
      <w:r w:rsidR="00910028" w:rsidRPr="008A7E34">
        <w:rPr>
          <w:sz w:val="24"/>
          <w:szCs w:val="24"/>
        </w:rPr>
        <w:t xml:space="preserve"> or stundents who are part of one or more of the following subgroups: American Indian or Alaskan Native, Black, Hispanic, English Language Learners, Students with Disabilities, and Economically Disadvantaged Students. </w:t>
      </w:r>
    </w:p>
    <w:tbl>
      <w:tblPr>
        <w:tblStyle w:val="GridTable2-Accent1"/>
        <w:tblpPr w:leftFromText="180" w:rightFromText="180" w:vertAnchor="text" w:horzAnchor="margin" w:tblpY="259"/>
        <w:tblW w:w="8513" w:type="dxa"/>
        <w:tblLook w:val="04A0" w:firstRow="1" w:lastRow="0" w:firstColumn="1" w:lastColumn="0" w:noHBand="0" w:noVBand="1"/>
      </w:tblPr>
      <w:tblGrid>
        <w:gridCol w:w="2080"/>
        <w:gridCol w:w="1225"/>
        <w:gridCol w:w="1225"/>
        <w:gridCol w:w="1352"/>
        <w:gridCol w:w="1352"/>
        <w:gridCol w:w="1279"/>
      </w:tblGrid>
      <w:tr w:rsidR="0008537C" w:rsidRPr="002811F5" w:rsidTr="0008537C">
        <w:trPr>
          <w:cnfStyle w:val="100000000000" w:firstRow="1" w:lastRow="0" w:firstColumn="0" w:lastColumn="0" w:oddVBand="0" w:evenVBand="0" w:oddHBand="0"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2080" w:type="dxa"/>
            <w:noWrap/>
            <w:hideMark/>
          </w:tcPr>
          <w:p w:rsidR="0008537C" w:rsidRPr="002811F5" w:rsidRDefault="00187B67" w:rsidP="000853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Correlation Coefficient Comparison </w:t>
            </w:r>
          </w:p>
        </w:tc>
        <w:tc>
          <w:tcPr>
            <w:tcW w:w="1225" w:type="dxa"/>
            <w:hideMark/>
          </w:tcPr>
          <w:p w:rsidR="0008537C" w:rsidRPr="002811F5" w:rsidRDefault="0008537C" w:rsidP="000853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 xml:space="preserve">GAP Students to Math Proficiency </w:t>
            </w:r>
          </w:p>
        </w:tc>
        <w:tc>
          <w:tcPr>
            <w:tcW w:w="1225" w:type="dxa"/>
            <w:hideMark/>
          </w:tcPr>
          <w:p w:rsidR="0008537C" w:rsidRPr="002811F5" w:rsidRDefault="0008537C" w:rsidP="000853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 xml:space="preserve">Native American Students to Math Proficiency </w:t>
            </w:r>
          </w:p>
        </w:tc>
        <w:tc>
          <w:tcPr>
            <w:tcW w:w="1352" w:type="dxa"/>
            <w:hideMark/>
          </w:tcPr>
          <w:p w:rsidR="0008537C" w:rsidRPr="002811F5" w:rsidRDefault="0008537C" w:rsidP="000853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 xml:space="preserve">Attendance to Math Proficiency </w:t>
            </w:r>
          </w:p>
        </w:tc>
        <w:tc>
          <w:tcPr>
            <w:tcW w:w="1352" w:type="dxa"/>
            <w:hideMark/>
          </w:tcPr>
          <w:p w:rsidR="0008537C" w:rsidRPr="002811F5" w:rsidRDefault="0008537C" w:rsidP="000853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 xml:space="preserve">GAP Student to Attendance </w:t>
            </w:r>
          </w:p>
        </w:tc>
        <w:tc>
          <w:tcPr>
            <w:tcW w:w="1279" w:type="dxa"/>
            <w:hideMark/>
          </w:tcPr>
          <w:p w:rsidR="0008537C" w:rsidRPr="002811F5" w:rsidRDefault="0008537C" w:rsidP="0008537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Percent Native American Students to Attendance</w:t>
            </w:r>
          </w:p>
        </w:tc>
      </w:tr>
      <w:tr w:rsidR="0008537C" w:rsidRPr="002811F5" w:rsidTr="0008537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0" w:type="dxa"/>
            <w:noWrap/>
            <w:hideMark/>
          </w:tcPr>
          <w:p w:rsidR="0008537C" w:rsidRPr="002811F5" w:rsidRDefault="0008537C" w:rsidP="0008537C">
            <w:pPr>
              <w:rPr>
                <w:rFonts w:ascii="Calibri" w:eastAsia="Times New Roman" w:hAnsi="Calibri" w:cs="Calibri"/>
                <w:color w:val="000000"/>
              </w:rPr>
            </w:pPr>
            <w:r w:rsidRPr="002811F5">
              <w:rPr>
                <w:rFonts w:ascii="Calibri" w:eastAsia="Times New Roman" w:hAnsi="Calibri" w:cs="Calibri"/>
                <w:color w:val="000000"/>
              </w:rPr>
              <w:t>Correlation Coefficient</w:t>
            </w:r>
          </w:p>
        </w:tc>
        <w:tc>
          <w:tcPr>
            <w:tcW w:w="1225" w:type="dxa"/>
            <w:noWrap/>
            <w:hideMark/>
          </w:tcPr>
          <w:p w:rsidR="0008537C" w:rsidRPr="002811F5" w:rsidRDefault="0008537C" w:rsidP="0008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-0.748</w:t>
            </w:r>
          </w:p>
        </w:tc>
        <w:tc>
          <w:tcPr>
            <w:tcW w:w="1225" w:type="dxa"/>
            <w:noWrap/>
            <w:hideMark/>
          </w:tcPr>
          <w:p w:rsidR="0008537C" w:rsidRPr="002811F5" w:rsidRDefault="0008537C" w:rsidP="0008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-0.763</w:t>
            </w:r>
          </w:p>
        </w:tc>
        <w:tc>
          <w:tcPr>
            <w:tcW w:w="1352" w:type="dxa"/>
            <w:noWrap/>
            <w:hideMark/>
          </w:tcPr>
          <w:p w:rsidR="0008537C" w:rsidRPr="002811F5" w:rsidRDefault="0008537C" w:rsidP="0008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0.724</w:t>
            </w:r>
          </w:p>
        </w:tc>
        <w:tc>
          <w:tcPr>
            <w:tcW w:w="1352" w:type="dxa"/>
            <w:noWrap/>
            <w:hideMark/>
          </w:tcPr>
          <w:p w:rsidR="0008537C" w:rsidRPr="002811F5" w:rsidRDefault="0008537C" w:rsidP="0008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-0.936</w:t>
            </w:r>
          </w:p>
        </w:tc>
        <w:tc>
          <w:tcPr>
            <w:tcW w:w="1279" w:type="dxa"/>
            <w:noWrap/>
            <w:hideMark/>
          </w:tcPr>
          <w:p w:rsidR="0008537C" w:rsidRPr="002811F5" w:rsidRDefault="0008537C" w:rsidP="0008537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2811F5">
              <w:rPr>
                <w:rFonts w:ascii="Calibri" w:eastAsia="Times New Roman" w:hAnsi="Calibri" w:cs="Calibri"/>
                <w:color w:val="000000"/>
              </w:rPr>
              <w:t>-0.90395</w:t>
            </w:r>
          </w:p>
        </w:tc>
      </w:tr>
    </w:tbl>
    <w:p w:rsidR="00746B85" w:rsidRDefault="00746B85" w:rsidP="0008537C"/>
    <w:p w:rsidR="0008537C" w:rsidRDefault="0008537C" w:rsidP="0008537C"/>
    <w:p w:rsidR="0008537C" w:rsidRDefault="0008537C" w:rsidP="0008537C"/>
    <w:p w:rsidR="0008537C" w:rsidRDefault="0008537C" w:rsidP="0008537C"/>
    <w:p w:rsidR="0008537C" w:rsidRDefault="0008537C" w:rsidP="0008537C"/>
    <w:p w:rsidR="00912F31" w:rsidRDefault="00912F31" w:rsidP="0008537C"/>
    <w:p w:rsidR="00912F31" w:rsidRPr="008A7E34" w:rsidRDefault="00912F31" w:rsidP="0008537C">
      <w:pPr>
        <w:rPr>
          <w:sz w:val="24"/>
          <w:szCs w:val="24"/>
        </w:rPr>
      </w:pPr>
    </w:p>
    <w:p w:rsidR="00950FCB" w:rsidRPr="008A7E34" w:rsidRDefault="00187B67" w:rsidP="00AB1E12">
      <w:pPr>
        <w:ind w:firstLine="720"/>
        <w:rPr>
          <w:sz w:val="24"/>
          <w:szCs w:val="24"/>
        </w:rPr>
      </w:pPr>
      <w:r w:rsidRPr="008A7E34">
        <w:rPr>
          <w:sz w:val="24"/>
          <w:szCs w:val="24"/>
        </w:rPr>
        <w:t xml:space="preserve">Figure 2 </w:t>
      </w:r>
      <w:r w:rsidR="002811F5" w:rsidRPr="008A7E34">
        <w:rPr>
          <w:sz w:val="24"/>
          <w:szCs w:val="24"/>
        </w:rPr>
        <w:t xml:space="preserve">shows us the correlation between a few of the variables. The most interesting correlation is that attendance and math proficiency have a positive correlation. Attendance and percent GAP students have a high negative correlation. Also, Percent GAP students and Math Proficiency have a high negative correlation. </w:t>
      </w:r>
      <w:r w:rsidR="00F97C79" w:rsidRPr="008A7E34">
        <w:rPr>
          <w:sz w:val="24"/>
          <w:szCs w:val="24"/>
        </w:rPr>
        <w:t>Figure 3</w:t>
      </w:r>
      <w:r w:rsidR="000B3282" w:rsidRPr="008A7E34">
        <w:rPr>
          <w:sz w:val="24"/>
          <w:szCs w:val="24"/>
        </w:rPr>
        <w:t xml:space="preserve"> </w:t>
      </w:r>
      <w:r w:rsidR="00F97C79" w:rsidRPr="008A7E34">
        <w:rPr>
          <w:sz w:val="24"/>
          <w:szCs w:val="24"/>
        </w:rPr>
        <w:t xml:space="preserve"> is histogram that shows the distribution of school’s average attendance in the district.</w:t>
      </w:r>
    </w:p>
    <w:p w:rsidR="00950FCB" w:rsidRDefault="00F97C79">
      <w:r w:rsidRPr="00746B85">
        <w:rPr>
          <w:b/>
          <w:noProof/>
        </w:rPr>
        <mc:AlternateContent>
          <mc:Choice Requires="cx1">
            <w:drawing>
              <wp:anchor distT="0" distB="0" distL="114300" distR="114300" simplePos="0" relativeHeight="251664384" behindDoc="0" locked="0" layoutInCell="1" allowOverlap="1">
                <wp:simplePos x="0" y="0"/>
                <wp:positionH relativeFrom="margin">
                  <wp:posOffset>-25400</wp:posOffset>
                </wp:positionH>
                <wp:positionV relativeFrom="paragraph">
                  <wp:posOffset>332740</wp:posOffset>
                </wp:positionV>
                <wp:extent cx="5810250" cy="2519680"/>
                <wp:effectExtent l="0" t="0" r="0" b="13970"/>
                <wp:wrapSquare wrapText="bothSides"/>
                <wp:docPr id="34" name="Chart 34">
                  <a:extLst xmlns:a="http://schemas.openxmlformats.org/drawingml/2006/main">
                    <a:ext uri="{FF2B5EF4-FFF2-40B4-BE49-F238E27FC236}">
                      <a16:creationId xmlns:a16="http://schemas.microsoft.com/office/drawing/2014/main" id="{309413E6-0C0D-466D-9C0C-1B972762E06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4384" behindDoc="0" locked="0" layoutInCell="1" allowOverlap="1">
                <wp:simplePos x="0" y="0"/>
                <wp:positionH relativeFrom="margin">
                  <wp:posOffset>-25400</wp:posOffset>
                </wp:positionH>
                <wp:positionV relativeFrom="paragraph">
                  <wp:posOffset>332740</wp:posOffset>
                </wp:positionV>
                <wp:extent cx="5810250" cy="2519680"/>
                <wp:effectExtent l="0" t="0" r="0" b="13970"/>
                <wp:wrapSquare wrapText="bothSides"/>
                <wp:docPr id="34" name="Chart 34">
                  <a:extLst xmlns:a="http://schemas.openxmlformats.org/drawingml/2006/main">
                    <a:ext uri="{FF2B5EF4-FFF2-40B4-BE49-F238E27FC236}">
                      <a16:creationId xmlns:a16="http://schemas.microsoft.com/office/drawing/2014/main" id="{309413E6-0C0D-466D-9C0C-1B972762E06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4" name="Chart 34">
                          <a:extLst>
                            <a:ext uri="{FF2B5EF4-FFF2-40B4-BE49-F238E27FC236}">
                              <a16:creationId xmlns:a16="http://schemas.microsoft.com/office/drawing/2014/main" id="{309413E6-0C0D-466D-9C0C-1B972762E06A}"/>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5810250" cy="251968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rsidR="00673512" w:rsidRPr="008A7E34" w:rsidRDefault="00746B85" w:rsidP="008A7E34">
      <w:r>
        <w:br w:type="page"/>
      </w:r>
      <w:r w:rsidR="008A7E34">
        <w:rPr>
          <w:noProof/>
        </w:rPr>
        <w:lastRenderedPageBreak/>
        <w:drawing>
          <wp:anchor distT="0" distB="0" distL="114300" distR="114300" simplePos="0" relativeHeight="251666432" behindDoc="0" locked="0" layoutInCell="1" allowOverlap="1">
            <wp:simplePos x="0" y="0"/>
            <wp:positionH relativeFrom="column">
              <wp:posOffset>4065905</wp:posOffset>
            </wp:positionH>
            <wp:positionV relativeFrom="paragraph">
              <wp:posOffset>3810</wp:posOffset>
            </wp:positionV>
            <wp:extent cx="2334260" cy="2590800"/>
            <wp:effectExtent l="0" t="0" r="8890" b="0"/>
            <wp:wrapTopAndBottom/>
            <wp:docPr id="36" name="Chart 36">
              <a:extLst xmlns:a="http://schemas.openxmlformats.org/drawingml/2006/main">
                <a:ext uri="{FF2B5EF4-FFF2-40B4-BE49-F238E27FC236}">
                  <a16:creationId xmlns:a16="http://schemas.microsoft.com/office/drawing/2014/main" id="{10755225-6FA2-4F19-9318-79D04AF25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A7E34">
        <w:rPr>
          <w:noProof/>
        </w:rPr>
        <w:drawing>
          <wp:anchor distT="0" distB="0" distL="114300" distR="114300" simplePos="0" relativeHeight="251665408" behindDoc="0" locked="0" layoutInCell="1" allowOverlap="1">
            <wp:simplePos x="0" y="0"/>
            <wp:positionH relativeFrom="margin">
              <wp:posOffset>-82550</wp:posOffset>
            </wp:positionH>
            <wp:positionV relativeFrom="paragraph">
              <wp:posOffset>21167</wp:posOffset>
            </wp:positionV>
            <wp:extent cx="4044950" cy="2578100"/>
            <wp:effectExtent l="0" t="0" r="12700" b="12700"/>
            <wp:wrapTopAndBottom/>
            <wp:docPr id="35" name="Chart 35">
              <a:extLst xmlns:a="http://schemas.openxmlformats.org/drawingml/2006/main">
                <a:ext uri="{FF2B5EF4-FFF2-40B4-BE49-F238E27FC236}">
                  <a16:creationId xmlns:a16="http://schemas.microsoft.com/office/drawing/2014/main" id="{9F2BF79E-866A-411C-B573-C968069789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673512" w:rsidRPr="008A7E34">
        <w:rPr>
          <w:sz w:val="24"/>
          <w:szCs w:val="24"/>
        </w:rPr>
        <w:t>This data set and graphs show us that attendance plays a large role in the student’s success on the Smarter Balance Math section. Figure 5 shows the schools that have the highest attendance. The top 2 are Corral Drive and Pinedale while the bottom 2 are Horace Mann and General Beadle. Then looking at the figure 4 we can see that Corral Drive and Pinedale also have the highest math scores. On the other hand, General Beadle has the lowest test scores and Horace Mann has the 4</w:t>
      </w:r>
      <w:r w:rsidR="00673512" w:rsidRPr="008A7E34">
        <w:rPr>
          <w:sz w:val="24"/>
          <w:szCs w:val="24"/>
          <w:vertAlign w:val="superscript"/>
        </w:rPr>
        <w:t>th</w:t>
      </w:r>
      <w:r w:rsidR="00673512" w:rsidRPr="008A7E34">
        <w:rPr>
          <w:sz w:val="24"/>
          <w:szCs w:val="24"/>
        </w:rPr>
        <w:t xml:space="preserve"> worst test scores. According to this analysis high attendance does lead to high test scores and high test scores are not likely to drive high attendance. </w:t>
      </w:r>
    </w:p>
    <w:p w:rsidR="00950FCB" w:rsidRPr="008A7E34" w:rsidRDefault="00F97C79" w:rsidP="00950FCB">
      <w:pPr>
        <w:ind w:firstLine="720"/>
        <w:rPr>
          <w:sz w:val="24"/>
          <w:szCs w:val="24"/>
        </w:rPr>
      </w:pPr>
      <w:r w:rsidRPr="008A7E34">
        <w:rPr>
          <w:noProof/>
          <w:sz w:val="24"/>
          <w:szCs w:val="24"/>
        </w:rPr>
        <mc:AlternateContent>
          <mc:Choice Requires="cx1">
            <w:drawing>
              <wp:anchor distT="0" distB="0" distL="114300" distR="114300" simplePos="0" relativeHeight="251667456" behindDoc="1" locked="0" layoutInCell="1" allowOverlap="1">
                <wp:simplePos x="0" y="0"/>
                <wp:positionH relativeFrom="margin">
                  <wp:align>left</wp:align>
                </wp:positionH>
                <wp:positionV relativeFrom="paragraph">
                  <wp:posOffset>6985</wp:posOffset>
                </wp:positionV>
                <wp:extent cx="3663950" cy="2578100"/>
                <wp:effectExtent l="0" t="0" r="12700" b="12700"/>
                <wp:wrapTight wrapText="bothSides">
                  <wp:wrapPolygon edited="0">
                    <wp:start x="0" y="0"/>
                    <wp:lineTo x="0" y="21547"/>
                    <wp:lineTo x="21563" y="21547"/>
                    <wp:lineTo x="21563" y="0"/>
                    <wp:lineTo x="0" y="0"/>
                  </wp:wrapPolygon>
                </wp:wrapTight>
                <wp:docPr id="38" name="Chart 38">
                  <a:extLst xmlns:a="http://schemas.openxmlformats.org/drawingml/2006/main">
                    <a:ext uri="{FF2B5EF4-FFF2-40B4-BE49-F238E27FC236}">
                      <a16:creationId xmlns:a16="http://schemas.microsoft.com/office/drawing/2014/main" id="{6DC60605-1B05-4587-A3CF-4BD73C6E28F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7456" behindDoc="1" locked="0" layoutInCell="1" allowOverlap="1">
                <wp:simplePos x="0" y="0"/>
                <wp:positionH relativeFrom="margin">
                  <wp:align>left</wp:align>
                </wp:positionH>
                <wp:positionV relativeFrom="paragraph">
                  <wp:posOffset>6985</wp:posOffset>
                </wp:positionV>
                <wp:extent cx="3663950" cy="2578100"/>
                <wp:effectExtent l="0" t="0" r="12700" b="12700"/>
                <wp:wrapTight wrapText="bothSides">
                  <wp:wrapPolygon edited="0">
                    <wp:start x="0" y="0"/>
                    <wp:lineTo x="0" y="21547"/>
                    <wp:lineTo x="21563" y="21547"/>
                    <wp:lineTo x="21563" y="0"/>
                    <wp:lineTo x="0" y="0"/>
                  </wp:wrapPolygon>
                </wp:wrapTight>
                <wp:docPr id="38" name="Chart 38">
                  <a:extLst xmlns:a="http://schemas.openxmlformats.org/drawingml/2006/main">
                    <a:ext uri="{FF2B5EF4-FFF2-40B4-BE49-F238E27FC236}">
                      <a16:creationId xmlns:a16="http://schemas.microsoft.com/office/drawing/2014/main" id="{6DC60605-1B05-4587-A3CF-4BD73C6E28F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8" name="Chart 38">
                          <a:extLst>
                            <a:ext uri="{FF2B5EF4-FFF2-40B4-BE49-F238E27FC236}">
                              <a16:creationId xmlns:a16="http://schemas.microsoft.com/office/drawing/2014/main" id="{6DC60605-1B05-4587-A3CF-4BD73C6E28F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663950" cy="257810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950FCB" w:rsidRPr="008A7E34">
        <w:rPr>
          <w:sz w:val="24"/>
          <w:szCs w:val="24"/>
        </w:rPr>
        <w:t xml:space="preserve">While attendance is important to consider, the Title 1 schools all have lower test scores and lower attendance than Non-Title 1 schools. The minority population in the Title 1 schools could be affecting both attendance and test scores. In order to control for this variable, we would have to compare the data about test scores, attendance, and GAP and non-GAP students. </w:t>
      </w:r>
    </w:p>
    <w:p w:rsidR="00673512" w:rsidRPr="008A7E34" w:rsidRDefault="00950FCB" w:rsidP="00F97C79">
      <w:pPr>
        <w:ind w:firstLine="720"/>
        <w:rPr>
          <w:sz w:val="24"/>
          <w:szCs w:val="24"/>
        </w:rPr>
      </w:pPr>
      <w:r w:rsidRPr="008A7E34">
        <w:rPr>
          <w:sz w:val="24"/>
          <w:szCs w:val="24"/>
        </w:rPr>
        <w:t xml:space="preserve">As show on figure 5 the attendance at </w:t>
      </w:r>
      <w:r w:rsidR="00F97C79" w:rsidRPr="008A7E34">
        <w:rPr>
          <w:sz w:val="24"/>
          <w:szCs w:val="24"/>
        </w:rPr>
        <w:t>non-title</w:t>
      </w:r>
      <w:r w:rsidRPr="008A7E34">
        <w:rPr>
          <w:sz w:val="24"/>
          <w:szCs w:val="24"/>
        </w:rPr>
        <w:t xml:space="preserve"> one schools on average is higher than the attendance at Title one schools. This is most likely caused by an increase in parental engagement and understanding of the importance of education in the </w:t>
      </w:r>
      <w:r w:rsidR="00F97C79" w:rsidRPr="008A7E34">
        <w:rPr>
          <w:sz w:val="24"/>
          <w:szCs w:val="24"/>
        </w:rPr>
        <w:t>Non-Title one</w:t>
      </w:r>
      <w:r w:rsidRPr="008A7E34">
        <w:rPr>
          <w:sz w:val="24"/>
          <w:szCs w:val="24"/>
        </w:rPr>
        <w:t xml:space="preserve"> schools. Despite being the school with the best attendance Corral Drive only has 85% of students attending 94% of school days. So on both ends of the socioeconomic spectrum students are missing school</w:t>
      </w:r>
      <w:r w:rsidR="00F97C79" w:rsidRPr="008A7E34">
        <w:rPr>
          <w:sz w:val="24"/>
          <w:szCs w:val="24"/>
        </w:rPr>
        <w:t xml:space="preserve"> and resulting in lower test scores</w:t>
      </w:r>
      <w:r w:rsidRPr="008A7E34">
        <w:rPr>
          <w:sz w:val="24"/>
          <w:szCs w:val="24"/>
        </w:rPr>
        <w:t xml:space="preserve">. The school board and teachers need to consider policies and programs that will help increase attendance in all classrooms. </w:t>
      </w:r>
    </w:p>
    <w:p w:rsidR="000D3603" w:rsidRPr="003134E6" w:rsidRDefault="000D3603" w:rsidP="00F97C79">
      <w:pPr>
        <w:ind w:firstLine="720"/>
        <w:rPr>
          <w:b/>
          <w:sz w:val="28"/>
          <w:szCs w:val="28"/>
        </w:rPr>
      </w:pPr>
      <w:r w:rsidRPr="003134E6">
        <w:rPr>
          <w:b/>
          <w:sz w:val="28"/>
          <w:szCs w:val="28"/>
        </w:rPr>
        <w:lastRenderedPageBreak/>
        <w:t>Executive Summary</w:t>
      </w:r>
    </w:p>
    <w:p w:rsidR="000D3603" w:rsidRPr="003134E6" w:rsidRDefault="000D3603" w:rsidP="004066AC">
      <w:pPr>
        <w:ind w:firstLine="720"/>
        <w:rPr>
          <w:sz w:val="24"/>
          <w:szCs w:val="24"/>
        </w:rPr>
      </w:pPr>
      <w:r w:rsidRPr="003134E6">
        <w:rPr>
          <w:sz w:val="24"/>
          <w:szCs w:val="24"/>
        </w:rPr>
        <w:t xml:space="preserve">The data set and analysis above was created in an effort to understand the effect of attendance on math proficiency scores of elementary students in the Rapid City </w:t>
      </w:r>
      <w:r w:rsidR="00CE293E">
        <w:rPr>
          <w:sz w:val="24"/>
          <w:szCs w:val="24"/>
        </w:rPr>
        <w:t>Area Schools D</w:t>
      </w:r>
      <w:r w:rsidRPr="003134E6">
        <w:rPr>
          <w:sz w:val="24"/>
          <w:szCs w:val="24"/>
        </w:rPr>
        <w:t>istrict.</w:t>
      </w:r>
      <w:r w:rsidR="004066AC" w:rsidRPr="003134E6">
        <w:rPr>
          <w:sz w:val="24"/>
          <w:szCs w:val="24"/>
        </w:rPr>
        <w:t xml:space="preserve"> It was created to answer the RCAS Board of Education’s potential questions b</w:t>
      </w:r>
      <w:r w:rsidR="00AB1E12">
        <w:rPr>
          <w:sz w:val="24"/>
          <w:szCs w:val="24"/>
        </w:rPr>
        <w:t>y looking at student attendance and the</w:t>
      </w:r>
      <w:r w:rsidR="004066AC" w:rsidRPr="003134E6">
        <w:rPr>
          <w:sz w:val="24"/>
          <w:szCs w:val="24"/>
        </w:rPr>
        <w:t xml:space="preserve"> 2016 multi</w:t>
      </w:r>
      <w:r w:rsidR="00080A96" w:rsidRPr="003134E6">
        <w:rPr>
          <w:sz w:val="24"/>
          <w:szCs w:val="24"/>
        </w:rPr>
        <w:t>-</w:t>
      </w:r>
      <w:r w:rsidR="004066AC" w:rsidRPr="003134E6">
        <w:rPr>
          <w:sz w:val="24"/>
          <w:szCs w:val="24"/>
        </w:rPr>
        <w:t>year math proficiency</w:t>
      </w:r>
      <w:r w:rsidR="00AB1E12">
        <w:rPr>
          <w:sz w:val="24"/>
          <w:szCs w:val="24"/>
        </w:rPr>
        <w:t xml:space="preserve"> sores. The</w:t>
      </w:r>
      <w:r w:rsidR="000C5C1A">
        <w:rPr>
          <w:sz w:val="24"/>
          <w:szCs w:val="24"/>
        </w:rPr>
        <w:t xml:space="preserve"> difference between</w:t>
      </w:r>
      <w:r w:rsidR="00AB1E12">
        <w:rPr>
          <w:sz w:val="24"/>
          <w:szCs w:val="24"/>
        </w:rPr>
        <w:t xml:space="preserve"> </w:t>
      </w:r>
      <w:r w:rsidR="004066AC" w:rsidRPr="003134E6">
        <w:rPr>
          <w:sz w:val="24"/>
          <w:szCs w:val="24"/>
        </w:rPr>
        <w:t>T</w:t>
      </w:r>
      <w:r w:rsidR="000C5C1A">
        <w:rPr>
          <w:sz w:val="24"/>
          <w:szCs w:val="24"/>
        </w:rPr>
        <w:t>itle-one schools and other schools</w:t>
      </w:r>
      <w:r w:rsidR="00AB1E12">
        <w:rPr>
          <w:sz w:val="24"/>
          <w:szCs w:val="24"/>
        </w:rPr>
        <w:t xml:space="preserve"> was also considered</w:t>
      </w:r>
      <w:r w:rsidR="004066AC" w:rsidRPr="003134E6">
        <w:rPr>
          <w:sz w:val="24"/>
          <w:szCs w:val="24"/>
        </w:rPr>
        <w:t>. Specific questions included: “How does attendance in school affect student</w:t>
      </w:r>
      <w:r w:rsidR="00CE293E">
        <w:rPr>
          <w:sz w:val="24"/>
          <w:szCs w:val="24"/>
        </w:rPr>
        <w:t xml:space="preserve"> test scores?”</w:t>
      </w:r>
      <w:r w:rsidR="004066AC" w:rsidRPr="003134E6">
        <w:rPr>
          <w:sz w:val="24"/>
          <w:szCs w:val="24"/>
        </w:rPr>
        <w:t xml:space="preserve"> or “What factors contribute to high test scores?” or “How do Title 1 Schools preform compared to other schools?”</w:t>
      </w:r>
      <w:r w:rsidRPr="003134E6">
        <w:rPr>
          <w:sz w:val="24"/>
          <w:szCs w:val="24"/>
        </w:rPr>
        <w:tab/>
      </w:r>
    </w:p>
    <w:p w:rsidR="004066AC" w:rsidRPr="003134E6" w:rsidRDefault="000C5C1A" w:rsidP="00080A96">
      <w:pPr>
        <w:ind w:firstLine="720"/>
        <w:rPr>
          <w:sz w:val="24"/>
          <w:szCs w:val="24"/>
        </w:rPr>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1259840</wp:posOffset>
            </wp:positionV>
            <wp:extent cx="2878455" cy="2336800"/>
            <wp:effectExtent l="0" t="0" r="17145" b="6350"/>
            <wp:wrapSquare wrapText="bothSides"/>
            <wp:docPr id="11" name="Chart 11">
              <a:extLst xmlns:a="http://schemas.openxmlformats.org/drawingml/2006/main">
                <a:ext uri="{FF2B5EF4-FFF2-40B4-BE49-F238E27FC236}">
                  <a16:creationId xmlns:a16="http://schemas.microsoft.com/office/drawing/2014/main" id="{6C7E7CA8-0EC0-49ED-AD93-D801A4AD8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r w:rsidR="00080A96" w:rsidRPr="003134E6">
        <w:rPr>
          <w:sz w:val="24"/>
          <w:szCs w:val="24"/>
        </w:rPr>
        <w:t xml:space="preserve">Further analysis of the data yielded some key findings. First, the data shows that there is a very strong correlation between attendance and </w:t>
      </w:r>
      <w:r>
        <w:rPr>
          <w:sz w:val="24"/>
          <w:szCs w:val="24"/>
        </w:rPr>
        <w:t>math proficiency</w:t>
      </w:r>
      <w:r w:rsidR="004066AC" w:rsidRPr="003134E6">
        <w:rPr>
          <w:sz w:val="24"/>
          <w:szCs w:val="24"/>
        </w:rPr>
        <w:t>. On a scale of -1 to 1, where -1 is completel</w:t>
      </w:r>
      <w:r w:rsidR="00AB1E12">
        <w:rPr>
          <w:sz w:val="24"/>
          <w:szCs w:val="24"/>
        </w:rPr>
        <w:t>y negatively correlated and 1 is</w:t>
      </w:r>
      <w:r w:rsidR="004066AC" w:rsidRPr="003134E6">
        <w:rPr>
          <w:sz w:val="24"/>
          <w:szCs w:val="24"/>
        </w:rPr>
        <w:t xml:space="preserve"> completely positively correlated, </w:t>
      </w:r>
      <w:r w:rsidR="00080A96" w:rsidRPr="003134E6">
        <w:rPr>
          <w:sz w:val="24"/>
          <w:szCs w:val="24"/>
        </w:rPr>
        <w:t xml:space="preserve">attendance and math have a correlation of </w:t>
      </w:r>
      <w:r>
        <w:rPr>
          <w:sz w:val="24"/>
          <w:szCs w:val="24"/>
        </w:rPr>
        <w:t>0</w:t>
      </w:r>
      <w:r w:rsidR="00080A96" w:rsidRPr="003134E6">
        <w:rPr>
          <w:sz w:val="24"/>
          <w:szCs w:val="24"/>
        </w:rPr>
        <w:t xml:space="preserve">.724, which </w:t>
      </w:r>
      <w:r w:rsidR="008D3A96" w:rsidRPr="003134E6">
        <w:rPr>
          <w:sz w:val="24"/>
          <w:szCs w:val="24"/>
        </w:rPr>
        <w:t>is very high. It was</w:t>
      </w:r>
      <w:r>
        <w:rPr>
          <w:sz w:val="24"/>
          <w:szCs w:val="24"/>
        </w:rPr>
        <w:t xml:space="preserve"> also</w:t>
      </w:r>
      <w:r w:rsidR="00080A96" w:rsidRPr="003134E6">
        <w:rPr>
          <w:sz w:val="24"/>
          <w:szCs w:val="24"/>
        </w:rPr>
        <w:t xml:space="preserve"> found that 50% of the variance in test scores is related to attendance</w:t>
      </w:r>
      <w:r>
        <w:rPr>
          <w:sz w:val="24"/>
          <w:szCs w:val="24"/>
        </w:rPr>
        <w:t xml:space="preserve"> (r</w:t>
      </w:r>
      <w:r>
        <w:rPr>
          <w:sz w:val="24"/>
          <w:szCs w:val="24"/>
          <w:vertAlign w:val="superscript"/>
        </w:rPr>
        <w:t>2</w:t>
      </w:r>
      <w:r>
        <w:rPr>
          <w:sz w:val="24"/>
          <w:szCs w:val="24"/>
        </w:rPr>
        <w:t>).</w:t>
      </w:r>
      <w:r w:rsidR="00080A96" w:rsidRPr="003134E6">
        <w:rPr>
          <w:sz w:val="24"/>
          <w:szCs w:val="24"/>
        </w:rPr>
        <w:t xml:space="preserve"> </w:t>
      </w:r>
      <w:r w:rsidR="00CE293E">
        <w:rPr>
          <w:sz w:val="24"/>
          <w:szCs w:val="24"/>
        </w:rPr>
        <w:t xml:space="preserve">These two findings show that attendance is a key determinate in math proficiency. </w:t>
      </w:r>
    </w:p>
    <w:p w:rsidR="008D3A96" w:rsidRPr="003134E6" w:rsidRDefault="008D3A96" w:rsidP="00080A96">
      <w:pPr>
        <w:ind w:firstLine="720"/>
        <w:rPr>
          <w:sz w:val="24"/>
          <w:szCs w:val="24"/>
        </w:rPr>
      </w:pPr>
      <w:r w:rsidRPr="003134E6">
        <w:rPr>
          <w:sz w:val="24"/>
          <w:szCs w:val="24"/>
        </w:rPr>
        <w:t>The data also shows that the average attendance of students in Title-one schools is much lower than the average attendance in non-title one schools. Non-Title one schools had an average attendance of 78.52% while Title one schools had an average attendance</w:t>
      </w:r>
      <w:r w:rsidR="00AB1E12">
        <w:rPr>
          <w:sz w:val="24"/>
          <w:szCs w:val="24"/>
        </w:rPr>
        <w:t xml:space="preserve"> of 68.13% exposing a 10% gap in attendance. </w:t>
      </w:r>
      <w:r w:rsidR="0030030E">
        <w:rPr>
          <w:sz w:val="24"/>
          <w:szCs w:val="24"/>
        </w:rPr>
        <w:t>A</w:t>
      </w:r>
      <w:r w:rsidRPr="003134E6">
        <w:rPr>
          <w:sz w:val="24"/>
          <w:szCs w:val="24"/>
        </w:rPr>
        <w:t xml:space="preserve"> hypothesis test</w:t>
      </w:r>
      <w:r w:rsidR="0030030E">
        <w:rPr>
          <w:sz w:val="24"/>
          <w:szCs w:val="24"/>
        </w:rPr>
        <w:t xml:space="preserve"> showed that this held true at </w:t>
      </w:r>
      <w:r w:rsidRPr="003134E6">
        <w:rPr>
          <w:sz w:val="24"/>
          <w:szCs w:val="24"/>
        </w:rPr>
        <w:t xml:space="preserve">least 95% of the time. </w:t>
      </w:r>
    </w:p>
    <w:p w:rsidR="00CE293E" w:rsidRDefault="003134E6" w:rsidP="005813C1">
      <w:pPr>
        <w:ind w:firstLine="720"/>
        <w:rPr>
          <w:sz w:val="24"/>
          <w:szCs w:val="24"/>
        </w:rPr>
      </w:pPr>
      <w:r>
        <w:rPr>
          <w:sz w:val="24"/>
          <w:szCs w:val="24"/>
        </w:rPr>
        <w:t>Specific policy implementations for this analysis were found using a si</w:t>
      </w:r>
      <w:r w:rsidR="0030030E">
        <w:rPr>
          <w:sz w:val="24"/>
          <w:szCs w:val="24"/>
        </w:rPr>
        <w:t>mple regression model. The</w:t>
      </w:r>
      <w:r>
        <w:rPr>
          <w:sz w:val="24"/>
          <w:szCs w:val="24"/>
        </w:rPr>
        <w:t xml:space="preserve"> reg</w:t>
      </w:r>
      <w:r w:rsidR="0030030E">
        <w:rPr>
          <w:sz w:val="24"/>
          <w:szCs w:val="24"/>
        </w:rPr>
        <w:t>ression of the data shows</w:t>
      </w:r>
      <w:r>
        <w:rPr>
          <w:sz w:val="24"/>
          <w:szCs w:val="24"/>
        </w:rPr>
        <w:t xml:space="preserve"> that increasing attendance by 1 percent </w:t>
      </w:r>
      <w:r w:rsidR="008A09A1">
        <w:rPr>
          <w:sz w:val="24"/>
          <w:szCs w:val="24"/>
        </w:rPr>
        <w:t>could potentially yield</w:t>
      </w:r>
      <w:r>
        <w:rPr>
          <w:sz w:val="24"/>
          <w:szCs w:val="24"/>
        </w:rPr>
        <w:t xml:space="preserve"> </w:t>
      </w:r>
      <w:r w:rsidR="00CE293E">
        <w:rPr>
          <w:sz w:val="24"/>
          <w:szCs w:val="24"/>
        </w:rPr>
        <w:t>a</w:t>
      </w:r>
      <w:r>
        <w:rPr>
          <w:sz w:val="24"/>
          <w:szCs w:val="24"/>
        </w:rPr>
        <w:t xml:space="preserve"> </w:t>
      </w:r>
      <w:r w:rsidR="008A09A1">
        <w:rPr>
          <w:sz w:val="24"/>
          <w:szCs w:val="24"/>
        </w:rPr>
        <w:t>1.3 percent increase in math scores</w:t>
      </w:r>
      <w:r>
        <w:rPr>
          <w:sz w:val="24"/>
          <w:szCs w:val="24"/>
        </w:rPr>
        <w:t xml:space="preserve">. If the RCAS district wants to increase math proficiency, then it should start experimenting with ways to increase student attendance. According </w:t>
      </w:r>
      <w:r w:rsidR="0030030E">
        <w:rPr>
          <w:sz w:val="24"/>
          <w:szCs w:val="24"/>
        </w:rPr>
        <w:t xml:space="preserve">to </w:t>
      </w:r>
      <w:r>
        <w:rPr>
          <w:sz w:val="24"/>
          <w:szCs w:val="24"/>
        </w:rPr>
        <w:t>the regression</w:t>
      </w:r>
      <w:r w:rsidR="0030030E">
        <w:rPr>
          <w:sz w:val="24"/>
          <w:szCs w:val="24"/>
        </w:rPr>
        <w:t>,</w:t>
      </w:r>
      <w:r>
        <w:rPr>
          <w:sz w:val="24"/>
          <w:szCs w:val="24"/>
        </w:rPr>
        <w:t xml:space="preserve"> if attendance increases to 90%</w:t>
      </w:r>
      <w:r w:rsidR="0030030E">
        <w:rPr>
          <w:sz w:val="24"/>
          <w:szCs w:val="24"/>
        </w:rPr>
        <w:t>,</w:t>
      </w:r>
      <w:r>
        <w:rPr>
          <w:sz w:val="24"/>
          <w:szCs w:val="24"/>
        </w:rPr>
        <w:t xml:space="preserve"> average math </w:t>
      </w:r>
      <w:r w:rsidR="005813C1">
        <w:rPr>
          <w:sz w:val="24"/>
          <w:szCs w:val="24"/>
        </w:rPr>
        <w:t>proficiency</w:t>
      </w:r>
      <w:r>
        <w:rPr>
          <w:sz w:val="24"/>
          <w:szCs w:val="24"/>
        </w:rPr>
        <w:t xml:space="preserve"> could increa</w:t>
      </w:r>
      <w:r w:rsidR="005813C1">
        <w:rPr>
          <w:sz w:val="24"/>
          <w:szCs w:val="24"/>
        </w:rPr>
        <w:t xml:space="preserve">se to at least 52% or to as much as 85%. </w:t>
      </w:r>
    </w:p>
    <w:p w:rsidR="00110F5B" w:rsidRDefault="0030030E" w:rsidP="0030030E">
      <w:pPr>
        <w:ind w:firstLine="720"/>
        <w:rPr>
          <w:sz w:val="24"/>
          <w:szCs w:val="24"/>
        </w:rPr>
      </w:pPr>
      <w:r>
        <w:rPr>
          <w:sz w:val="24"/>
          <w:szCs w:val="24"/>
        </w:rPr>
        <w:t>Overall this study shows</w:t>
      </w:r>
      <w:r w:rsidR="000C5C1A">
        <w:rPr>
          <w:sz w:val="24"/>
          <w:szCs w:val="24"/>
        </w:rPr>
        <w:t xml:space="preserve"> that attendance is highly correlated with math proficiency and</w:t>
      </w:r>
    </w:p>
    <w:p w:rsidR="005813C1" w:rsidRDefault="0030030E" w:rsidP="0030030E">
      <w:pPr>
        <w:ind w:firstLine="720"/>
        <w:rPr>
          <w:sz w:val="24"/>
          <w:szCs w:val="24"/>
        </w:rPr>
      </w:pPr>
      <w:r>
        <w:rPr>
          <w:sz w:val="24"/>
          <w:szCs w:val="24"/>
        </w:rPr>
        <w:t xml:space="preserve"> that</w:t>
      </w:r>
      <w:r w:rsidR="000C5C1A">
        <w:rPr>
          <w:sz w:val="24"/>
          <w:szCs w:val="24"/>
        </w:rPr>
        <w:t xml:space="preserve"> Title-one schools have a 10% lower average attendance than non-Title-one schools</w:t>
      </w:r>
      <w:r>
        <w:rPr>
          <w:sz w:val="24"/>
          <w:szCs w:val="24"/>
        </w:rPr>
        <w:t>. Therefore,</w:t>
      </w:r>
      <w:r w:rsidR="008A7E34">
        <w:rPr>
          <w:sz w:val="24"/>
          <w:szCs w:val="24"/>
        </w:rPr>
        <w:t xml:space="preserve"> the District should </w:t>
      </w:r>
      <w:r w:rsidR="005813C1">
        <w:rPr>
          <w:sz w:val="24"/>
          <w:szCs w:val="24"/>
        </w:rPr>
        <w:t xml:space="preserve">increase its focus on incentivizing attendance </w:t>
      </w:r>
      <w:r w:rsidR="008A7E34">
        <w:rPr>
          <w:sz w:val="24"/>
          <w:szCs w:val="24"/>
        </w:rPr>
        <w:t xml:space="preserve">in all schools but specifically </w:t>
      </w:r>
      <w:r w:rsidR="008A09A1">
        <w:rPr>
          <w:sz w:val="24"/>
          <w:szCs w:val="24"/>
        </w:rPr>
        <w:t>in</w:t>
      </w:r>
      <w:r w:rsidR="005813C1">
        <w:rPr>
          <w:sz w:val="24"/>
          <w:szCs w:val="24"/>
        </w:rPr>
        <w:t xml:space="preserve"> Title-one sch</w:t>
      </w:r>
      <w:r w:rsidR="008A09A1">
        <w:rPr>
          <w:sz w:val="24"/>
          <w:szCs w:val="24"/>
        </w:rPr>
        <w:t xml:space="preserve">ools. </w:t>
      </w:r>
      <w:r w:rsidR="008A7E34">
        <w:rPr>
          <w:sz w:val="24"/>
          <w:szCs w:val="24"/>
        </w:rPr>
        <w:t xml:space="preserve"> </w:t>
      </w:r>
    </w:p>
    <w:p w:rsidR="000D3603" w:rsidRPr="003134E6" w:rsidRDefault="00EE3AE6" w:rsidP="00F97C79">
      <w:pPr>
        <w:ind w:firstLine="720"/>
        <w:rPr>
          <w:sz w:val="24"/>
          <w:szCs w:val="24"/>
        </w:rPr>
      </w:pPr>
      <w:r>
        <w:rPr>
          <w:sz w:val="24"/>
          <w:szCs w:val="24"/>
        </w:rPr>
        <w:t>The data presented in the paper while insightful is</w:t>
      </w:r>
      <w:r w:rsidR="00F759DF">
        <w:rPr>
          <w:sz w:val="24"/>
          <w:szCs w:val="24"/>
        </w:rPr>
        <w:t xml:space="preserve"> not without limitations. Simply looking at a</w:t>
      </w:r>
      <w:r w:rsidR="008A7E34">
        <w:rPr>
          <w:sz w:val="24"/>
          <w:szCs w:val="24"/>
        </w:rPr>
        <w:t>ttendance and test scores overlooks</w:t>
      </w:r>
      <w:r w:rsidR="00F759DF">
        <w:rPr>
          <w:sz w:val="24"/>
          <w:szCs w:val="24"/>
        </w:rPr>
        <w:t xml:space="preserve"> a lo</w:t>
      </w:r>
      <w:r w:rsidR="008A7E34">
        <w:rPr>
          <w:sz w:val="24"/>
          <w:szCs w:val="24"/>
        </w:rPr>
        <w:t>t of other key</w:t>
      </w:r>
      <w:r w:rsidR="00F759DF">
        <w:rPr>
          <w:sz w:val="24"/>
          <w:szCs w:val="24"/>
        </w:rPr>
        <w:t xml:space="preserve"> variables. For example, student</w:t>
      </w:r>
      <w:r w:rsidR="0030030E">
        <w:rPr>
          <w:sz w:val="24"/>
          <w:szCs w:val="24"/>
        </w:rPr>
        <w:t>’</w:t>
      </w:r>
      <w:r w:rsidR="00F759DF">
        <w:rPr>
          <w:sz w:val="24"/>
          <w:szCs w:val="24"/>
        </w:rPr>
        <w:t>s parent income</w:t>
      </w:r>
      <w:r w:rsidR="0030030E">
        <w:rPr>
          <w:sz w:val="24"/>
          <w:szCs w:val="24"/>
        </w:rPr>
        <w:t xml:space="preserve"> and</w:t>
      </w:r>
      <w:r w:rsidR="00F759DF">
        <w:rPr>
          <w:sz w:val="24"/>
          <w:szCs w:val="24"/>
        </w:rPr>
        <w:t xml:space="preserve"> educ</w:t>
      </w:r>
      <w:r w:rsidR="0030030E">
        <w:rPr>
          <w:sz w:val="24"/>
          <w:szCs w:val="24"/>
        </w:rPr>
        <w:t>ation level, teacher quality</w:t>
      </w:r>
      <w:r w:rsidR="00F759DF">
        <w:rPr>
          <w:sz w:val="24"/>
          <w:szCs w:val="24"/>
        </w:rPr>
        <w:t xml:space="preserve">, </w:t>
      </w:r>
      <w:r w:rsidR="00364405">
        <w:rPr>
          <w:sz w:val="24"/>
          <w:szCs w:val="24"/>
        </w:rPr>
        <w:t xml:space="preserve">and classroom size </w:t>
      </w:r>
      <w:r w:rsidR="008A7E34">
        <w:rPr>
          <w:sz w:val="24"/>
          <w:szCs w:val="24"/>
        </w:rPr>
        <w:t xml:space="preserve">can all play a </w:t>
      </w:r>
      <w:r w:rsidR="008A7E34">
        <w:rPr>
          <w:sz w:val="24"/>
          <w:szCs w:val="24"/>
        </w:rPr>
        <w:lastRenderedPageBreak/>
        <w:t xml:space="preserve">role </w:t>
      </w:r>
      <w:r w:rsidR="00F759DF">
        <w:rPr>
          <w:sz w:val="24"/>
          <w:szCs w:val="24"/>
        </w:rPr>
        <w:t xml:space="preserve">in math </w:t>
      </w:r>
      <w:r w:rsidR="00364405">
        <w:rPr>
          <w:sz w:val="24"/>
          <w:szCs w:val="24"/>
        </w:rPr>
        <w:t>proficiency</w:t>
      </w:r>
      <w:r w:rsidR="00F759DF">
        <w:rPr>
          <w:sz w:val="24"/>
          <w:szCs w:val="24"/>
        </w:rPr>
        <w:t xml:space="preserve">. </w:t>
      </w:r>
      <w:r w:rsidR="00364405">
        <w:rPr>
          <w:sz w:val="24"/>
          <w:szCs w:val="24"/>
        </w:rPr>
        <w:t>Also, it should be noted that</w:t>
      </w:r>
      <w:r w:rsidR="00F759DF">
        <w:rPr>
          <w:sz w:val="24"/>
          <w:szCs w:val="24"/>
        </w:rPr>
        <w:t xml:space="preserve"> just because there is a strong positive correlation between attendance and math scores </w:t>
      </w:r>
      <w:r w:rsidR="0030030E">
        <w:rPr>
          <w:sz w:val="24"/>
          <w:szCs w:val="24"/>
        </w:rPr>
        <w:t xml:space="preserve">it </w:t>
      </w:r>
      <w:r w:rsidR="00F759DF">
        <w:rPr>
          <w:sz w:val="24"/>
          <w:szCs w:val="24"/>
        </w:rPr>
        <w:t xml:space="preserve">doesn’t necessary mean that attendance causes high math scores. </w:t>
      </w:r>
      <w:r w:rsidR="00364405">
        <w:rPr>
          <w:sz w:val="24"/>
          <w:szCs w:val="24"/>
        </w:rPr>
        <w:t xml:space="preserve">Children can come to class and </w:t>
      </w:r>
      <w:r w:rsidR="008A7E34">
        <w:rPr>
          <w:sz w:val="24"/>
          <w:szCs w:val="24"/>
        </w:rPr>
        <w:t>still not learn anything. The RCAS D</w:t>
      </w:r>
      <w:r w:rsidR="00364405">
        <w:rPr>
          <w:sz w:val="24"/>
          <w:szCs w:val="24"/>
        </w:rPr>
        <w:t xml:space="preserve">istrict should try to find ways to increase attendance and watch the data to see if math proficiency actually increases when attendance increases. </w:t>
      </w:r>
      <w:r w:rsidR="000C5C1A">
        <w:rPr>
          <w:sz w:val="24"/>
          <w:szCs w:val="24"/>
        </w:rPr>
        <w:t>It</w:t>
      </w:r>
      <w:r w:rsidR="008A7E34">
        <w:rPr>
          <w:sz w:val="24"/>
          <w:szCs w:val="24"/>
        </w:rPr>
        <w:t xml:space="preserve"> would also be helpful to examine the correlation of attendance to math proficiency within each individual grade as well as within specific ethnic groups such as Native American</w:t>
      </w:r>
      <w:r w:rsidR="00F87ABC">
        <w:rPr>
          <w:sz w:val="24"/>
          <w:szCs w:val="24"/>
        </w:rPr>
        <w:t>s</w:t>
      </w:r>
      <w:r w:rsidR="008A7E34">
        <w:rPr>
          <w:sz w:val="24"/>
          <w:szCs w:val="24"/>
        </w:rPr>
        <w:t>. Once those data sets have been analyzed the District would be able to formulate specific policies for reachi</w:t>
      </w:r>
      <w:r w:rsidR="000C5C1A">
        <w:rPr>
          <w:sz w:val="24"/>
          <w:szCs w:val="24"/>
        </w:rPr>
        <w:t>ng each grade and ethnic group. These specific policies</w:t>
      </w:r>
      <w:r w:rsidR="0030030E">
        <w:rPr>
          <w:sz w:val="24"/>
          <w:szCs w:val="24"/>
        </w:rPr>
        <w:t>,</w:t>
      </w:r>
      <w:r w:rsidR="000C5C1A">
        <w:rPr>
          <w:sz w:val="24"/>
          <w:szCs w:val="24"/>
        </w:rPr>
        <w:t xml:space="preserve"> when found would help the RCAS District increase its attendance and hopefully math proficiency</w:t>
      </w:r>
      <w:r w:rsidR="00F87ABC">
        <w:rPr>
          <w:sz w:val="24"/>
          <w:szCs w:val="24"/>
        </w:rPr>
        <w:t>.</w:t>
      </w:r>
    </w:p>
    <w:sectPr w:rsidR="000D3603" w:rsidRPr="003134E6" w:rsidSect="005A278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84"/>
    <w:rsid w:val="00026DE9"/>
    <w:rsid w:val="00080A96"/>
    <w:rsid w:val="0008537C"/>
    <w:rsid w:val="000B3282"/>
    <w:rsid w:val="000C5C1A"/>
    <w:rsid w:val="000C5E79"/>
    <w:rsid w:val="000D3603"/>
    <w:rsid w:val="00110F5B"/>
    <w:rsid w:val="001330B0"/>
    <w:rsid w:val="00186147"/>
    <w:rsid w:val="00187B67"/>
    <w:rsid w:val="001C0476"/>
    <w:rsid w:val="00211218"/>
    <w:rsid w:val="00251247"/>
    <w:rsid w:val="00263939"/>
    <w:rsid w:val="002811F5"/>
    <w:rsid w:val="0030030E"/>
    <w:rsid w:val="003134E6"/>
    <w:rsid w:val="00364405"/>
    <w:rsid w:val="00383ACF"/>
    <w:rsid w:val="003E2D16"/>
    <w:rsid w:val="003E315C"/>
    <w:rsid w:val="003F2DB9"/>
    <w:rsid w:val="004066AC"/>
    <w:rsid w:val="004360B2"/>
    <w:rsid w:val="004430AD"/>
    <w:rsid w:val="004A189F"/>
    <w:rsid w:val="004B2A16"/>
    <w:rsid w:val="004E3C21"/>
    <w:rsid w:val="00507BE6"/>
    <w:rsid w:val="005813C1"/>
    <w:rsid w:val="005A2784"/>
    <w:rsid w:val="005B2659"/>
    <w:rsid w:val="005F20C1"/>
    <w:rsid w:val="005F3567"/>
    <w:rsid w:val="00613880"/>
    <w:rsid w:val="00673512"/>
    <w:rsid w:val="006D1206"/>
    <w:rsid w:val="00746B85"/>
    <w:rsid w:val="00752883"/>
    <w:rsid w:val="0078426D"/>
    <w:rsid w:val="00851623"/>
    <w:rsid w:val="00894BC8"/>
    <w:rsid w:val="008A09A1"/>
    <w:rsid w:val="008A7E34"/>
    <w:rsid w:val="008D3A96"/>
    <w:rsid w:val="00910028"/>
    <w:rsid w:val="00912F31"/>
    <w:rsid w:val="009237A2"/>
    <w:rsid w:val="00926681"/>
    <w:rsid w:val="009323E1"/>
    <w:rsid w:val="00950FCB"/>
    <w:rsid w:val="00AB1E12"/>
    <w:rsid w:val="00AB336D"/>
    <w:rsid w:val="00BF1B64"/>
    <w:rsid w:val="00C11DCD"/>
    <w:rsid w:val="00CC5346"/>
    <w:rsid w:val="00CE293E"/>
    <w:rsid w:val="00D84534"/>
    <w:rsid w:val="00EE3AE6"/>
    <w:rsid w:val="00F105BD"/>
    <w:rsid w:val="00F759DF"/>
    <w:rsid w:val="00F87ABC"/>
    <w:rsid w:val="00F97C79"/>
    <w:rsid w:val="00FA492C"/>
    <w:rsid w:val="00FD6C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3A6D"/>
  <w15:chartTrackingRefBased/>
  <w15:docId w15:val="{1D8459E3-8295-48EF-A3C3-9F1DEE8A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2784"/>
    <w:pPr>
      <w:spacing w:after="0" w:line="240" w:lineRule="auto"/>
    </w:pPr>
    <w:rPr>
      <w:lang w:eastAsia="en-US"/>
    </w:rPr>
  </w:style>
  <w:style w:type="character" w:customStyle="1" w:styleId="NoSpacingChar">
    <w:name w:val="No Spacing Char"/>
    <w:basedOn w:val="DefaultParagraphFont"/>
    <w:link w:val="NoSpacing"/>
    <w:uiPriority w:val="1"/>
    <w:rsid w:val="005A2784"/>
    <w:rPr>
      <w:lang w:eastAsia="en-US"/>
    </w:rPr>
  </w:style>
  <w:style w:type="table" w:styleId="GridTable4-Accent1">
    <w:name w:val="Grid Table 4 Accent 1"/>
    <w:basedOn w:val="TableNormal"/>
    <w:uiPriority w:val="49"/>
    <w:rsid w:val="00746B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746B8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746B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746B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746B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2639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41974">
      <w:bodyDiv w:val="1"/>
      <w:marLeft w:val="0"/>
      <w:marRight w:val="0"/>
      <w:marTop w:val="0"/>
      <w:marBottom w:val="0"/>
      <w:divBdr>
        <w:top w:val="none" w:sz="0" w:space="0" w:color="auto"/>
        <w:left w:val="none" w:sz="0" w:space="0" w:color="auto"/>
        <w:bottom w:val="none" w:sz="0" w:space="0" w:color="auto"/>
        <w:right w:val="none" w:sz="0" w:space="0" w:color="auto"/>
      </w:divBdr>
    </w:div>
    <w:div w:id="341057080">
      <w:bodyDiv w:val="1"/>
      <w:marLeft w:val="0"/>
      <w:marRight w:val="0"/>
      <w:marTop w:val="0"/>
      <w:marBottom w:val="0"/>
      <w:divBdr>
        <w:top w:val="none" w:sz="0" w:space="0" w:color="auto"/>
        <w:left w:val="none" w:sz="0" w:space="0" w:color="auto"/>
        <w:bottom w:val="none" w:sz="0" w:space="0" w:color="auto"/>
        <w:right w:val="none" w:sz="0" w:space="0" w:color="auto"/>
      </w:divBdr>
    </w:div>
    <w:div w:id="462386001">
      <w:bodyDiv w:val="1"/>
      <w:marLeft w:val="0"/>
      <w:marRight w:val="0"/>
      <w:marTop w:val="0"/>
      <w:marBottom w:val="0"/>
      <w:divBdr>
        <w:top w:val="none" w:sz="0" w:space="0" w:color="auto"/>
        <w:left w:val="none" w:sz="0" w:space="0" w:color="auto"/>
        <w:bottom w:val="none" w:sz="0" w:space="0" w:color="auto"/>
        <w:right w:val="none" w:sz="0" w:space="0" w:color="auto"/>
      </w:divBdr>
    </w:div>
    <w:div w:id="540674023">
      <w:bodyDiv w:val="1"/>
      <w:marLeft w:val="0"/>
      <w:marRight w:val="0"/>
      <w:marTop w:val="0"/>
      <w:marBottom w:val="0"/>
      <w:divBdr>
        <w:top w:val="none" w:sz="0" w:space="0" w:color="auto"/>
        <w:left w:val="none" w:sz="0" w:space="0" w:color="auto"/>
        <w:bottom w:val="none" w:sz="0" w:space="0" w:color="auto"/>
        <w:right w:val="none" w:sz="0" w:space="0" w:color="auto"/>
      </w:divBdr>
    </w:div>
    <w:div w:id="541746317">
      <w:bodyDiv w:val="1"/>
      <w:marLeft w:val="0"/>
      <w:marRight w:val="0"/>
      <w:marTop w:val="0"/>
      <w:marBottom w:val="0"/>
      <w:divBdr>
        <w:top w:val="none" w:sz="0" w:space="0" w:color="auto"/>
        <w:left w:val="none" w:sz="0" w:space="0" w:color="auto"/>
        <w:bottom w:val="none" w:sz="0" w:space="0" w:color="auto"/>
        <w:right w:val="none" w:sz="0" w:space="0" w:color="auto"/>
      </w:divBdr>
    </w:div>
    <w:div w:id="579215560">
      <w:bodyDiv w:val="1"/>
      <w:marLeft w:val="0"/>
      <w:marRight w:val="0"/>
      <w:marTop w:val="0"/>
      <w:marBottom w:val="0"/>
      <w:divBdr>
        <w:top w:val="none" w:sz="0" w:space="0" w:color="auto"/>
        <w:left w:val="none" w:sz="0" w:space="0" w:color="auto"/>
        <w:bottom w:val="none" w:sz="0" w:space="0" w:color="auto"/>
        <w:right w:val="none" w:sz="0" w:space="0" w:color="auto"/>
      </w:divBdr>
    </w:div>
    <w:div w:id="654380251">
      <w:bodyDiv w:val="1"/>
      <w:marLeft w:val="0"/>
      <w:marRight w:val="0"/>
      <w:marTop w:val="0"/>
      <w:marBottom w:val="0"/>
      <w:divBdr>
        <w:top w:val="none" w:sz="0" w:space="0" w:color="auto"/>
        <w:left w:val="none" w:sz="0" w:space="0" w:color="auto"/>
        <w:bottom w:val="none" w:sz="0" w:space="0" w:color="auto"/>
        <w:right w:val="none" w:sz="0" w:space="0" w:color="auto"/>
      </w:divBdr>
    </w:div>
    <w:div w:id="1183016205">
      <w:bodyDiv w:val="1"/>
      <w:marLeft w:val="0"/>
      <w:marRight w:val="0"/>
      <w:marTop w:val="0"/>
      <w:marBottom w:val="0"/>
      <w:divBdr>
        <w:top w:val="none" w:sz="0" w:space="0" w:color="auto"/>
        <w:left w:val="none" w:sz="0" w:space="0" w:color="auto"/>
        <w:bottom w:val="none" w:sz="0" w:space="0" w:color="auto"/>
        <w:right w:val="none" w:sz="0" w:space="0" w:color="auto"/>
      </w:divBdr>
    </w:div>
    <w:div w:id="1225675392">
      <w:bodyDiv w:val="1"/>
      <w:marLeft w:val="0"/>
      <w:marRight w:val="0"/>
      <w:marTop w:val="0"/>
      <w:marBottom w:val="0"/>
      <w:divBdr>
        <w:top w:val="none" w:sz="0" w:space="0" w:color="auto"/>
        <w:left w:val="none" w:sz="0" w:space="0" w:color="auto"/>
        <w:bottom w:val="none" w:sz="0" w:space="0" w:color="auto"/>
        <w:right w:val="none" w:sz="0" w:space="0" w:color="auto"/>
      </w:divBdr>
    </w:div>
    <w:div w:id="1243032324">
      <w:bodyDiv w:val="1"/>
      <w:marLeft w:val="0"/>
      <w:marRight w:val="0"/>
      <w:marTop w:val="0"/>
      <w:marBottom w:val="0"/>
      <w:divBdr>
        <w:top w:val="none" w:sz="0" w:space="0" w:color="auto"/>
        <w:left w:val="none" w:sz="0" w:space="0" w:color="auto"/>
        <w:bottom w:val="none" w:sz="0" w:space="0" w:color="auto"/>
        <w:right w:val="none" w:sz="0" w:space="0" w:color="auto"/>
      </w:divBdr>
    </w:div>
    <w:div w:id="1324895354">
      <w:bodyDiv w:val="1"/>
      <w:marLeft w:val="0"/>
      <w:marRight w:val="0"/>
      <w:marTop w:val="0"/>
      <w:marBottom w:val="0"/>
      <w:divBdr>
        <w:top w:val="none" w:sz="0" w:space="0" w:color="auto"/>
        <w:left w:val="none" w:sz="0" w:space="0" w:color="auto"/>
        <w:bottom w:val="none" w:sz="0" w:space="0" w:color="auto"/>
        <w:right w:val="none" w:sz="0" w:space="0" w:color="auto"/>
      </w:divBdr>
    </w:div>
    <w:div w:id="1390153941">
      <w:bodyDiv w:val="1"/>
      <w:marLeft w:val="0"/>
      <w:marRight w:val="0"/>
      <w:marTop w:val="0"/>
      <w:marBottom w:val="0"/>
      <w:divBdr>
        <w:top w:val="none" w:sz="0" w:space="0" w:color="auto"/>
        <w:left w:val="none" w:sz="0" w:space="0" w:color="auto"/>
        <w:bottom w:val="none" w:sz="0" w:space="0" w:color="auto"/>
        <w:right w:val="none" w:sz="0" w:space="0" w:color="auto"/>
      </w:divBdr>
    </w:div>
    <w:div w:id="1543249492">
      <w:bodyDiv w:val="1"/>
      <w:marLeft w:val="0"/>
      <w:marRight w:val="0"/>
      <w:marTop w:val="0"/>
      <w:marBottom w:val="0"/>
      <w:divBdr>
        <w:top w:val="none" w:sz="0" w:space="0" w:color="auto"/>
        <w:left w:val="none" w:sz="0" w:space="0" w:color="auto"/>
        <w:bottom w:val="none" w:sz="0" w:space="0" w:color="auto"/>
        <w:right w:val="none" w:sz="0" w:space="0" w:color="auto"/>
      </w:divBdr>
    </w:div>
    <w:div w:id="1664039831">
      <w:bodyDiv w:val="1"/>
      <w:marLeft w:val="0"/>
      <w:marRight w:val="0"/>
      <w:marTop w:val="0"/>
      <w:marBottom w:val="0"/>
      <w:divBdr>
        <w:top w:val="none" w:sz="0" w:space="0" w:color="auto"/>
        <w:left w:val="none" w:sz="0" w:space="0" w:color="auto"/>
        <w:bottom w:val="none" w:sz="0" w:space="0" w:color="auto"/>
        <w:right w:val="none" w:sz="0" w:space="0" w:color="auto"/>
      </w:divBdr>
    </w:div>
    <w:div w:id="1852336082">
      <w:bodyDiv w:val="1"/>
      <w:marLeft w:val="0"/>
      <w:marRight w:val="0"/>
      <w:marTop w:val="0"/>
      <w:marBottom w:val="0"/>
      <w:divBdr>
        <w:top w:val="none" w:sz="0" w:space="0" w:color="auto"/>
        <w:left w:val="none" w:sz="0" w:space="0" w:color="auto"/>
        <w:bottom w:val="none" w:sz="0" w:space="0" w:color="auto"/>
        <w:right w:val="none" w:sz="0" w:space="0" w:color="auto"/>
      </w:divBdr>
    </w:div>
    <w:div w:id="1921407613">
      <w:bodyDiv w:val="1"/>
      <w:marLeft w:val="0"/>
      <w:marRight w:val="0"/>
      <w:marTop w:val="0"/>
      <w:marBottom w:val="0"/>
      <w:divBdr>
        <w:top w:val="none" w:sz="0" w:space="0" w:color="auto"/>
        <w:left w:val="none" w:sz="0" w:space="0" w:color="auto"/>
        <w:bottom w:val="none" w:sz="0" w:space="0" w:color="auto"/>
        <w:right w:val="none" w:sz="0" w:space="0" w:color="auto"/>
      </w:divBdr>
    </w:div>
    <w:div w:id="1933393142">
      <w:bodyDiv w:val="1"/>
      <w:marLeft w:val="0"/>
      <w:marRight w:val="0"/>
      <w:marTop w:val="0"/>
      <w:marBottom w:val="0"/>
      <w:divBdr>
        <w:top w:val="none" w:sz="0" w:space="0" w:color="auto"/>
        <w:left w:val="none" w:sz="0" w:space="0" w:color="auto"/>
        <w:bottom w:val="none" w:sz="0" w:space="0" w:color="auto"/>
        <w:right w:val="none" w:sz="0" w:space="0" w:color="auto"/>
      </w:divBdr>
    </w:div>
    <w:div w:id="201499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microsoft.com/office/2014/relationships/chartEx" Target="charts/chartEx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chp\Desktop\Econ%20378%20project.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chp\Desktop\Econ%20378%20project.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achp\Desktop\Econ%20378%20project.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zachp\Desktop\Econ%20378%20project.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zachp\Desktop\Econ%20378%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4b) Average Multi Year Math Proficiency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Sheet1!$A$31</c:f>
              <c:strCache>
                <c:ptCount val="1"/>
                <c:pt idx="0">
                  <c:v>Multi Year Math Proficiency (%)</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2CF3-4BAB-8231-5392C34A0AE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Sheet1!$B$30:$C$30</c:f>
              <c:strCache>
                <c:ptCount val="2"/>
                <c:pt idx="0">
                  <c:v>Title 1 Schools</c:v>
                </c:pt>
                <c:pt idx="1">
                  <c:v>Non Title 1 Schools</c:v>
                </c:pt>
              </c:strCache>
            </c:strRef>
          </c:cat>
          <c:val>
            <c:numRef>
              <c:f>Sheet1!$B$31:$C$31</c:f>
              <c:numCache>
                <c:formatCode>0.00</c:formatCode>
                <c:ptCount val="2"/>
                <c:pt idx="0">
                  <c:v>40.675555555555555</c:v>
                </c:pt>
                <c:pt idx="1">
                  <c:v>55.158333333333331</c:v>
                </c:pt>
              </c:numCache>
            </c:numRef>
          </c:val>
          <c:extLst>
            <c:ext xmlns:c16="http://schemas.microsoft.com/office/drawing/2014/chart" uri="{C3380CC4-5D6E-409C-BE32-E72D297353CC}">
              <c16:uniqueId val="{00000000-2CF3-4BAB-8231-5392C34A0AEB}"/>
            </c:ext>
          </c:extLst>
        </c:ser>
        <c:dLbls>
          <c:showLegendKey val="0"/>
          <c:showVal val="0"/>
          <c:showCatName val="0"/>
          <c:showSerName val="0"/>
          <c:showPercent val="0"/>
          <c:showBubbleSize val="0"/>
        </c:dLbls>
        <c:gapWidth val="219"/>
        <c:overlap val="-27"/>
        <c:axId val="420331744"/>
        <c:axId val="420332400"/>
      </c:barChart>
      <c:catAx>
        <c:axId val="42033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32400"/>
        <c:crosses val="autoZero"/>
        <c:auto val="1"/>
        <c:lblAlgn val="ctr"/>
        <c:lblOffset val="100"/>
        <c:noMultiLvlLbl val="0"/>
      </c:catAx>
      <c:valAx>
        <c:axId val="420332400"/>
        <c:scaling>
          <c:orientation val="minMax"/>
        </c:scaling>
        <c:delete val="0"/>
        <c:axPos val="l"/>
        <c:majorGridlines>
          <c:spPr>
            <a:ln w="9525" cap="flat" cmpd="sng" algn="ctr">
              <a:solidFill>
                <a:schemeClr val="tx1">
                  <a:lumMod val="15000"/>
                  <a:lumOff val="85000"/>
                </a:schemeClr>
              </a:solidFill>
              <a:round/>
            </a:ln>
            <a:effectLst/>
          </c:spPr>
        </c:majorGridlines>
        <c:numFmt formatCode="0;[Red]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0331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4a) </a:t>
            </a:r>
            <a:r>
              <a:rPr lang="en-US"/>
              <a:t>Average Multi Year Math Proficiency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1556385122189415E-2"/>
          <c:y val="0.26197044334975367"/>
          <c:w val="0.87076700577263011"/>
          <c:h val="0.43294092548776231"/>
        </c:manualLayout>
      </c:layout>
      <c:barChart>
        <c:barDir val="col"/>
        <c:grouping val="clustered"/>
        <c:varyColors val="0"/>
        <c:ser>
          <c:idx val="0"/>
          <c:order val="0"/>
          <c:tx>
            <c:strRef>
              <c:f>Sheet1!$H$2</c:f>
              <c:strCache>
                <c:ptCount val="1"/>
                <c:pt idx="0">
                  <c:v>Multi Year Math Proficiency (%)</c:v>
                </c:pt>
              </c:strCache>
            </c:strRef>
          </c:tx>
          <c:spPr>
            <a:solidFill>
              <a:schemeClr val="accent1"/>
            </a:solidFill>
            <a:ln w="3175">
              <a:solidFill>
                <a:schemeClr val="bg2">
                  <a:lumMod val="75000"/>
                </a:schemeClr>
              </a:solidFill>
            </a:ln>
            <a:effectLst/>
          </c:spPr>
          <c:invertIfNegative val="0"/>
          <c:dPt>
            <c:idx val="6"/>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1-0921-4764-BCE3-67A6396DD652}"/>
              </c:ext>
            </c:extLst>
          </c:dPt>
          <c:dPt>
            <c:idx val="7"/>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3-0921-4764-BCE3-67A6396DD652}"/>
              </c:ext>
            </c:extLst>
          </c:dPt>
          <c:dPt>
            <c:idx val="8"/>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5-0921-4764-BCE3-67A6396DD652}"/>
              </c:ext>
            </c:extLst>
          </c:dPt>
          <c:dPt>
            <c:idx val="9"/>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7-0921-4764-BCE3-67A6396DD652}"/>
              </c:ext>
            </c:extLst>
          </c:dPt>
          <c:dPt>
            <c:idx val="10"/>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9-0921-4764-BCE3-67A6396DD652}"/>
              </c:ext>
            </c:extLst>
          </c:dPt>
          <c:dPt>
            <c:idx val="11"/>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B-0921-4764-BCE3-67A6396DD652}"/>
              </c:ext>
            </c:extLst>
          </c:dPt>
          <c:dPt>
            <c:idx val="12"/>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D-0921-4764-BCE3-67A6396DD652}"/>
              </c:ext>
            </c:extLst>
          </c:dPt>
          <c:dPt>
            <c:idx val="13"/>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0F-0921-4764-BCE3-67A6396DD652}"/>
              </c:ext>
            </c:extLst>
          </c:dPt>
          <c:dPt>
            <c:idx val="14"/>
            <c:invertIfNegative val="0"/>
            <c:bubble3D val="0"/>
            <c:spPr>
              <a:solidFill>
                <a:schemeClr val="accent2"/>
              </a:solidFill>
              <a:ln w="3175">
                <a:solidFill>
                  <a:schemeClr val="bg2">
                    <a:lumMod val="75000"/>
                  </a:schemeClr>
                </a:solidFill>
              </a:ln>
              <a:effectLst/>
            </c:spPr>
            <c:extLst>
              <c:ext xmlns:c16="http://schemas.microsoft.com/office/drawing/2014/chart" uri="{C3380CC4-5D6E-409C-BE32-E72D297353CC}">
                <c16:uniqueId val="{00000011-0921-4764-BCE3-67A6396DD6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Sheet1!$A$3:$A$17</c:f>
              <c:strCache>
                <c:ptCount val="15"/>
                <c:pt idx="0">
                  <c:v>Black Hawk</c:v>
                </c:pt>
                <c:pt idx="1">
                  <c:v>Corral Drive</c:v>
                </c:pt>
                <c:pt idx="2">
                  <c:v>Grandview</c:v>
                </c:pt>
                <c:pt idx="3">
                  <c:v>Meadowbrook</c:v>
                </c:pt>
                <c:pt idx="4">
                  <c:v>Pinedale</c:v>
                </c:pt>
                <c:pt idx="5">
                  <c:v>Wilson </c:v>
                </c:pt>
                <c:pt idx="6">
                  <c:v>Canyon Lake</c:v>
                </c:pt>
                <c:pt idx="7">
                  <c:v>General Beadle </c:v>
                </c:pt>
                <c:pt idx="8">
                  <c:v>Horace Mann</c:v>
                </c:pt>
                <c:pt idx="9">
                  <c:v>Knollwood </c:v>
                </c:pt>
                <c:pt idx="10">
                  <c:v>Rapid Valley</c:v>
                </c:pt>
                <c:pt idx="11">
                  <c:v>Robbinsdale</c:v>
                </c:pt>
                <c:pt idx="12">
                  <c:v>South Canyon</c:v>
                </c:pt>
                <c:pt idx="13">
                  <c:v>South Park</c:v>
                </c:pt>
                <c:pt idx="14">
                  <c:v>Valleyview</c:v>
                </c:pt>
              </c:strCache>
            </c:strRef>
          </c:cat>
          <c:val>
            <c:numRef>
              <c:f>Sheet1!$H$3:$H$17</c:f>
              <c:numCache>
                <c:formatCode>0.00</c:formatCode>
                <c:ptCount val="15"/>
                <c:pt idx="0" formatCode="General">
                  <c:v>36.9</c:v>
                </c:pt>
                <c:pt idx="1">
                  <c:v>71.599999999999994</c:v>
                </c:pt>
                <c:pt idx="2">
                  <c:v>44.04</c:v>
                </c:pt>
                <c:pt idx="3">
                  <c:v>62.07</c:v>
                </c:pt>
                <c:pt idx="4">
                  <c:v>63.38</c:v>
                </c:pt>
                <c:pt idx="5">
                  <c:v>52.96</c:v>
                </c:pt>
                <c:pt idx="6">
                  <c:v>46.6</c:v>
                </c:pt>
                <c:pt idx="7">
                  <c:v>20.16</c:v>
                </c:pt>
                <c:pt idx="8">
                  <c:v>36.840000000000003</c:v>
                </c:pt>
                <c:pt idx="9">
                  <c:v>33.729999999999997</c:v>
                </c:pt>
                <c:pt idx="10">
                  <c:v>37.6</c:v>
                </c:pt>
                <c:pt idx="11">
                  <c:v>50.65</c:v>
                </c:pt>
                <c:pt idx="12">
                  <c:v>55.65</c:v>
                </c:pt>
                <c:pt idx="13">
                  <c:v>34.46</c:v>
                </c:pt>
                <c:pt idx="14">
                  <c:v>50.39</c:v>
                </c:pt>
              </c:numCache>
            </c:numRef>
          </c:val>
          <c:extLst>
            <c:ext xmlns:c16="http://schemas.microsoft.com/office/drawing/2014/chart" uri="{C3380CC4-5D6E-409C-BE32-E72D297353CC}">
              <c16:uniqueId val="{00000012-0921-4764-BCE3-67A6396DD652}"/>
            </c:ext>
          </c:extLst>
        </c:ser>
        <c:dLbls>
          <c:dLblPos val="outEnd"/>
          <c:showLegendKey val="0"/>
          <c:showVal val="1"/>
          <c:showCatName val="0"/>
          <c:showSerName val="0"/>
          <c:showPercent val="0"/>
          <c:showBubbleSize val="0"/>
        </c:dLbls>
        <c:gapWidth val="219"/>
        <c:overlap val="-27"/>
        <c:axId val="578824016"/>
        <c:axId val="578824344"/>
      </c:barChart>
      <c:catAx>
        <c:axId val="57882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824344"/>
        <c:crosses val="autoZero"/>
        <c:auto val="1"/>
        <c:lblAlgn val="ctr"/>
        <c:lblOffset val="100"/>
        <c:noMultiLvlLbl val="0"/>
      </c:catAx>
      <c:valAx>
        <c:axId val="578824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824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Student</a:t>
            </a:r>
            <a:r>
              <a:rPr lang="en-US" baseline="0"/>
              <a:t> Attendance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C49E-45DB-9B7D-B1232A811B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Sheet1!$M$3:$N$3</c:f>
              <c:strCache>
                <c:ptCount val="2"/>
                <c:pt idx="0">
                  <c:v>Title One Attendance </c:v>
                </c:pt>
                <c:pt idx="1">
                  <c:v>Non-Title One attendance </c:v>
                </c:pt>
              </c:strCache>
            </c:strRef>
          </c:cat>
          <c:val>
            <c:numRef>
              <c:f>Sheet1!$M$4:$N$4</c:f>
              <c:numCache>
                <c:formatCode>0.00</c:formatCode>
                <c:ptCount val="2"/>
                <c:pt idx="0">
                  <c:v>68.126666666666679</c:v>
                </c:pt>
                <c:pt idx="1">
                  <c:v>78.52</c:v>
                </c:pt>
              </c:numCache>
            </c:numRef>
          </c:val>
          <c:extLst>
            <c:ext xmlns:c16="http://schemas.microsoft.com/office/drawing/2014/chart" uri="{C3380CC4-5D6E-409C-BE32-E72D297353CC}">
              <c16:uniqueId val="{00000002-C49E-45DB-9B7D-B1232A811B00}"/>
            </c:ext>
          </c:extLst>
        </c:ser>
        <c:dLbls>
          <c:dLblPos val="outEnd"/>
          <c:showLegendKey val="0"/>
          <c:showVal val="1"/>
          <c:showCatName val="0"/>
          <c:showSerName val="0"/>
          <c:showPercent val="0"/>
          <c:showBubbleSize val="0"/>
        </c:dLbls>
        <c:gapWidth val="219"/>
        <c:overlap val="-27"/>
        <c:axId val="243008072"/>
        <c:axId val="243009384"/>
      </c:barChart>
      <c:catAx>
        <c:axId val="243008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09384"/>
        <c:crosses val="autoZero"/>
        <c:auto val="1"/>
        <c:lblAlgn val="ctr"/>
        <c:lblOffset val="100"/>
        <c:noMultiLvlLbl val="0"/>
      </c:catAx>
      <c:valAx>
        <c:axId val="243009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3008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Sheet1!$P$3:$P$12</cx:f>
        <cx:lvl ptCount="10">
          <cx:pt idx="0">10%</cx:pt>
          <cx:pt idx="1">20%</cx:pt>
          <cx:pt idx="2">30%</cx:pt>
          <cx:pt idx="3">40%</cx:pt>
          <cx:pt idx="4">50%</cx:pt>
          <cx:pt idx="5">60%</cx:pt>
          <cx:pt idx="6">70%</cx:pt>
          <cx:pt idx="7">80%</cx:pt>
          <cx:pt idx="8">90%</cx:pt>
          <cx:pt idx="9">100%</cx:pt>
        </cx:lvl>
      </cx:strDim>
      <cx:numDim type="val">
        <cx:f>Sheet1!$G$3:$G$17</cx:f>
        <cx:lvl ptCount="15" formatCode="General">
          <cx:pt idx="0">77.390000000000001</cx:pt>
          <cx:pt idx="1">85.260000000000005</cx:pt>
          <cx:pt idx="2">75.340000000000003</cx:pt>
          <cx:pt idx="3">80.140000000000001</cx:pt>
          <cx:pt idx="4">80.450000000000003</cx:pt>
          <cx:pt idx="5">72.540000000000006</cx:pt>
          <cx:pt idx="6">67.629999999999995</cx:pt>
          <cx:pt idx="7">60.909999999999997</cx:pt>
          <cx:pt idx="8">60.469999999999999</cx:pt>
          <cx:pt idx="9">63.450000000000003</cx:pt>
          <cx:pt idx="10">77.829999999999998</cx:pt>
          <cx:pt idx="11">66.340000000000003</cx:pt>
          <cx:pt idx="12">72.109999999999999</cx:pt>
          <cx:pt idx="13">68.969999999999999</cx:pt>
          <cx:pt idx="14">75.430000000000007</cx:pt>
        </cx:lvl>
      </cx:numDim>
    </cx:data>
  </cx:chartData>
  <cx:chart>
    <cx:title pos="t" align="ctr" overlay="0">
      <cx:tx>
        <cx:txData>
          <cx:v>(Figure 3) Students Attending at Least 94% of Enrolled Days Histogram</cx:v>
        </cx:txData>
      </cx:tx>
      <cx:txPr>
        <a:bodyPr spcFirstLastPara="1" vertOverflow="ellipsis" wrap="square" lIns="0" tIns="0" rIns="0" bIns="0" anchor="ctr" anchorCtr="1"/>
        <a:lstStyle/>
        <a:p>
          <a:pPr algn="ctr">
            <a:defRPr/>
          </a:pPr>
          <a:r>
            <a:rPr lang="en-US"/>
            <a:t>(Figure 3) Students Attending at Least 94% of Enrolled Days Histogram</a:t>
          </a:r>
        </a:p>
      </cx:txPr>
    </cx:title>
    <cx:plotArea>
      <cx:plotAreaRegion>
        <cx:series layoutId="clusteredColumn" uniqueId="{E0466167-6C98-4EC2-A3F1-7C9ADA26D21D}" formatIdx="0">
          <cx:dataId val="0"/>
          <cx:layoutPr>
            <cx:binning intervalClosed="r" underflow="auto" overflow="auto">
              <cx:binSize val="1.5"/>
            </cx:binning>
          </cx:layoutPr>
        </cx:series>
      </cx:plotAreaRegion>
      <cx:axis id="0">
        <cx:catScaling gapWidth="0.0599999987"/>
        <cx:title>
          <cx:tx>
            <cx:txData>
              <cx:v>Average Student Attendance</cx:v>
            </cx:txData>
          </cx:tx>
          <cx:txPr>
            <a:bodyPr spcFirstLastPara="1" vertOverflow="ellipsis" wrap="square" lIns="0" tIns="0" rIns="0" bIns="0" anchor="ctr" anchorCtr="1"/>
            <a:lstStyle/>
            <a:p>
              <a:pPr algn="ctr">
                <a:defRPr/>
              </a:pPr>
              <a:r>
                <a:rPr lang="en-US"/>
                <a:t>Average Student Attendance</a:t>
              </a:r>
            </a:p>
          </cx:txPr>
        </cx:title>
        <cx:tickLabels/>
        <cx:numFmt formatCode="General" sourceLinked="0"/>
        <cx:txPr>
          <a:bodyPr spcFirstLastPara="1" vertOverflow="ellipsis" wrap="square" lIns="0" tIns="0" rIns="0" bIns="0" anchor="ctr" anchorCtr="1"/>
          <a:lstStyle/>
          <a:p>
            <a:pPr>
              <a:defRPr/>
            </a:pPr>
            <a:endParaRPr lang="en-US"/>
          </a:p>
        </cx:txPr>
      </cx:axis>
      <cx:axis id="1">
        <cx:valScaling max="2"/>
        <cx:title>
          <cx:tx>
            <cx:txData>
              <cx:v>Number of Schools</cx:v>
            </cx:txData>
          </cx:tx>
          <cx:txPr>
            <a:bodyPr spcFirstLastPara="1" vertOverflow="ellipsis" wrap="square" lIns="0" tIns="0" rIns="0" bIns="0" anchor="ctr" anchorCtr="1"/>
            <a:lstStyle/>
            <a:p>
              <a:pPr algn="ctr">
                <a:defRPr/>
              </a:pPr>
              <a:r>
                <a:rPr lang="en-US"/>
                <a:t>Number of Schools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Sheet1!$A$3:$A$17</cx:f>
        <cx:lvl ptCount="15">
          <cx:pt idx="0">Black Hawk</cx:pt>
          <cx:pt idx="1">Corral Drive</cx:pt>
          <cx:pt idx="2">Grandview</cx:pt>
          <cx:pt idx="3">Meadowbrook</cx:pt>
          <cx:pt idx="4">Pinedale</cx:pt>
          <cx:pt idx="5">Wilson </cx:pt>
          <cx:pt idx="6">Canyon Lake</cx:pt>
          <cx:pt idx="7">General Beadle </cx:pt>
          <cx:pt idx="8">Horace Mann</cx:pt>
          <cx:pt idx="9">Knollwood </cx:pt>
          <cx:pt idx="10">Rapid Valley</cx:pt>
          <cx:pt idx="11">Robbinsdale</cx:pt>
          <cx:pt idx="12">South Canyon</cx:pt>
          <cx:pt idx="13">South Park</cx:pt>
          <cx:pt idx="14">Valleyview</cx:pt>
        </cx:lvl>
      </cx:strDim>
      <cx:numDim type="val">
        <cx:f>Sheet1!$G$3:$G$17</cx:f>
        <cx:lvl ptCount="15" formatCode="General">
          <cx:pt idx="0">77.390000000000001</cx:pt>
          <cx:pt idx="1">85.260000000000005</cx:pt>
          <cx:pt idx="2">75.340000000000003</cx:pt>
          <cx:pt idx="3">80.140000000000001</cx:pt>
          <cx:pt idx="4">80.450000000000003</cx:pt>
          <cx:pt idx="5">72.540000000000006</cx:pt>
          <cx:pt idx="6">67.629999999999995</cx:pt>
          <cx:pt idx="7">60.909999999999997</cx:pt>
          <cx:pt idx="8">60.469999999999999</cx:pt>
          <cx:pt idx="9">63.450000000000003</cx:pt>
          <cx:pt idx="10">77.829999999999998</cx:pt>
          <cx:pt idx="11">66.340000000000003</cx:pt>
          <cx:pt idx="12">72.109999999999999</cx:pt>
          <cx:pt idx="13">68.969999999999999</cx:pt>
          <cx:pt idx="14">75.430000000000007</cx:pt>
        </cx:lvl>
      </cx:numDim>
    </cx:data>
  </cx:chartData>
  <cx:chart>
    <cx:title pos="t" align="ctr" overlay="0">
      <cx:tx>
        <cx:txData>
          <cx:v>Figure (5) Students attending at least 94% of Enrolled days </cx:v>
        </cx:txData>
      </cx:tx>
      <cx:txPr>
        <a:bodyPr spcFirstLastPara="1" vertOverflow="ellipsis" wrap="square" lIns="0" tIns="0" rIns="0" bIns="0" anchor="ctr" anchorCtr="1"/>
        <a:lstStyle/>
        <a:p>
          <a:pPr algn="ctr">
            <a:defRPr/>
          </a:pPr>
          <a:r>
            <a:rPr lang="en-US"/>
            <a:t>Figure (5) Students attending at least 94% of Enrolled days </a:t>
          </a:r>
        </a:p>
      </cx:txPr>
    </cx:title>
    <cx:plotArea>
      <cx:plotAreaRegion>
        <cx:series layoutId="clusteredColumn" uniqueId="{11F1FC89-A03F-4C04-8314-33E6B191958B}" formatIdx="0">
          <cx:tx>
            <cx:txData>
              <cx:f>Sheet1!$G$2</cx:f>
              <cx:v>Percent Attending 94% of Enrolled Days (%)</cx:v>
            </cx:txData>
          </cx:tx>
          <cx:spPr>
            <a:solidFill>
              <a:schemeClr val="accent2"/>
            </a:solidFill>
            <a:ln>
              <a:solidFill>
                <a:schemeClr val="bg2">
                  <a:lumMod val="75000"/>
                </a:schemeClr>
              </a:solidFill>
            </a:ln>
          </cx:spPr>
          <cx:dataPt idx="0">
            <cx:spPr>
              <a:solidFill>
                <a:srgbClr val="4472C4"/>
              </a:solidFill>
            </cx:spPr>
          </cx:dataPt>
          <cx:dataPt idx="1">
            <cx:spPr>
              <a:solidFill>
                <a:srgbClr val="4472C4"/>
              </a:solidFill>
            </cx:spPr>
          </cx:dataPt>
          <cx:dataPt idx="2">
            <cx:spPr>
              <a:solidFill>
                <a:srgbClr val="4472C4"/>
              </a:solidFill>
            </cx:spPr>
          </cx:dataPt>
          <cx:dataPt idx="4">
            <cx:spPr>
              <a:solidFill>
                <a:srgbClr val="4472C4"/>
              </a:solidFill>
            </cx:spPr>
          </cx:dataPt>
          <cx:dataPt idx="6">
            <cx:spPr>
              <a:solidFill>
                <a:srgbClr val="4472C4"/>
              </a:solidFill>
            </cx:spPr>
          </cx:dataPt>
          <cx:dataPt idx="7">
            <cx:spPr>
              <a:solidFill>
                <a:srgbClr val="4472C4"/>
              </a:solidFill>
            </cx:spPr>
          </cx:dataPt>
          <cx:dataId val="0"/>
          <cx:layoutPr>
            <cx:aggregation/>
          </cx:layoutPr>
          <cx:axisId val="1"/>
        </cx:series>
        <cx:series layoutId="paretoLine" ownerIdx="0" uniqueId="{E5F4FED3-C190-4E0E-A707-4A55D443EA45}" formatIdx="1">
          <cx:spPr>
            <a:ln>
              <a:solidFill>
                <a:schemeClr val="bg2">
                  <a:lumMod val="75000"/>
                  <a:alpha val="29000"/>
                </a:schemeClr>
              </a:solidFill>
            </a:ln>
          </cx:spPr>
          <cx:axisId val="2"/>
        </cx:series>
      </cx:plotAreaRegion>
      <cx:axis id="0">
        <cx:catScaling gapWidth="0.300000012"/>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Analysis:</vt:lpstr>
    </vt:vector>
  </TitlesOfParts>
  <Company>Econ 378 Dr. Joseph McMurrayBrigham Young University</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subject>Trends from the 2016 Smarter Balance Test Elementary School Report Cards of the Rapid City Area Schools</dc:subject>
  <dc:creator>Zach Policky</dc:creator>
  <cp:keywords/>
  <dc:description/>
  <cp:lastModifiedBy>Zach Policky</cp:lastModifiedBy>
  <cp:revision>18</cp:revision>
  <cp:lastPrinted>2017-04-19T20:17:00Z</cp:lastPrinted>
  <dcterms:created xsi:type="dcterms:W3CDTF">2017-02-15T17:11:00Z</dcterms:created>
  <dcterms:modified xsi:type="dcterms:W3CDTF">2017-04-20T00:10:00Z</dcterms:modified>
</cp:coreProperties>
</file>