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家庭能源预测预实验结论</w:t>
      </w:r>
    </w:p>
    <w:p>
      <w:r>
        <w:rPr>
          <w:b/>
        </w:rPr>
        <w:t>真实 LCL 数据上的笔记本扩展验证</w:t>
      </w:r>
    </w:p>
    <w:p>
      <w:r>
        <w:rPr>
          <w:b w:val="0"/>
        </w:rPr>
        <w:t>分析范围：原 10 轮 pilot 与新增 36 次、每次 50 轮的验证实验。本文用于决定正式实验需要保留哪些对照、修改哪些测量方式，以及如何保存报告证据。所有性能结论均来自验证集，尚不构成独立测试结论。</w:t>
      </w:r>
    </w:p>
    <w:p>
      <w:pPr>
        <w:pStyle w:val="Heading2"/>
      </w:pPr>
      <w:r>
        <w:t>主要结论</w:t>
      </w:r>
    </w:p>
    <w:p>
      <w:r>
        <w:rPr>
          <w:b w:val="0"/>
        </w:rPr>
        <w:t>训练与记录流程已能完成这一规模的实验。延长到 50 轮后，三种调度的平均预测误差均低于各自第 10 轮，但尚不能统一认定已收敛。扩大的是训练轮数与实验组合，家庭数量仍为 12 户。</w:t>
      </w:r>
    </w:p>
    <w:p>
      <w:r>
        <w:rPr>
          <w:b w:val="0"/>
        </w:rPr>
        <w:t>在 3 秒超时、50 轮条件下，random 的平均 MAE 最低；coverage 在覆盖全部家庭的同时缩短模拟时间，但贡献次数明显偏向快档；fastest 更快，却使一半家庭从未成功贡献。当前结果支持研究这些取舍，不支持宣称某一种调度全面胜出。</w:t>
      </w:r>
    </w:p>
    <w:p>
      <w:r>
        <w:rPr>
          <w:b w:val="0"/>
        </w:rPr>
        <w:t>3、10、60 秒条件的完整验证曲线一致，耗时差异主要来自模拟等待规则。实际运行计时还出现小时级异常，因此模拟时间与本机实测时间必须分开报告。</w:t>
      </w:r>
    </w:p>
    <w:p>
      <w:pPr>
        <w:pStyle w:val="Heading2"/>
      </w:pPr>
      <w:r>
        <w:t>实验边界与证据检查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705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本批结果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运行完成情况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36 / 36 完成；每次 50 轮；共 1,800 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对照组合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 种调度 × 4 个超时 × 3 个种子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数据和配置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同一数据指纹；保存配置与计划文件全部一致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源码和资源轨迹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保存的源码指纹一致；同种子资源轨迹一致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独立测试与完整归档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未发现 test 目录；36 次均无 integrity.json</w:t>
            </w:r>
          </w:p>
        </w:tc>
      </w:tr>
    </w:tbl>
    <w:p>
      <w:pPr>
        <w:spacing w:before="100"/>
      </w:pPr>
      <w:r>
        <w:rPr>
          <w:b w:val="0"/>
        </w:rPr>
        <w:t>数据来自公开 LCL 家庭用电记录，manifest 标记 synthetic=false。使用 2013年1月1日至7月1日之前的数据，按时间划分；训练截止 5月7日16:30，验证截止 6月3日20:00。每次用过去 96 个半小时窗口的 6 个特征，预测未来 2 个半小时的总用电量。</w:t>
      </w:r>
    </w:p>
    <w:p>
      <w:pPr>
        <w:pStyle w:val="Heading1"/>
        <w:pageBreakBefore/>
      </w:pPr>
      <w:r>
        <w:t>1 实验设置与同轮数结果</w:t>
      </w:r>
    </w:p>
    <w:p>
      <w:r>
        <w:rPr>
          <w:b w:val="0"/>
        </w:rPr>
        <w:t>固定 GRU hidden=32（3,873 个参数），CPU 2 线程，每轮选择 6 户，每户 10 个 minibatch 更新，batch=32，学习率 0.001，等客户端聚合，裁剪开启；DP 关闭，plain 聚合。可用率为 1.0，掉线率为 0.1，至少 4 户成功才应用更新。种子为 7、17、27。</w:t>
      </w:r>
    </w:p>
    <w:p>
      <w:r>
        <w:rPr>
          <w:b w:val="0"/>
        </w:rPr>
        <w:t>下表取第 50 轮验证 macro MAE，即先计算每户 MAE 再对家庭平均，单位 kWh；“±”为 3 个种子的样本标准差，不是置信区间。时间为 50 轮累计模拟秒数；失败轮指没有应用全局更新的轮次，均为跨种子均值。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3528"/>
        <w:gridCol w:w="2088"/>
        <w:gridCol w:w="2016"/>
      </w:tblGrid>
      <w:tr>
        <w:trPr>
          <w:cantSplit/>
          <w:tblHeader/>
        </w:trPr>
        <w:tc>
          <w:tcPr>
            <w:tcW w:type="dxa" w:w="93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超时 秒</w:t>
            </w:r>
          </w:p>
        </w:tc>
        <w:tc>
          <w:tcPr>
            <w:tcW w:type="dxa" w:w="1512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调度</w:t>
            </w:r>
          </w:p>
        </w:tc>
        <w:tc>
          <w:tcPr>
            <w:tcW w:type="dxa" w:w="352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MAE 均值 ± SD</w:t>
            </w:r>
          </w:p>
        </w:tc>
        <w:tc>
          <w:tcPr>
            <w:tcW w:type="dxa" w:w="208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模拟秒数</w:t>
            </w:r>
          </w:p>
        </w:tc>
        <w:tc>
          <w:tcPr>
            <w:tcW w:type="dxa" w:w="201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失败轮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0.15818 ± 0.00259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49.95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21.33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 ± 0.00314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46.86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0.15414 ± 0.00286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48.28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8.00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0.15141 ± 0.00339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127.49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 ± 0.00314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89.53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0.15254 ± 0.00327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107.66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0.15141 ± 0.00339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293.15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 ± 0.00314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238.86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0.15254 ± 0.00327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259.32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0.15141 ± 0.00339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1476.49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 ± 0.00314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1305.53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0.15254 ± 0.00327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1342.66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0.67</w:t>
            </w:r>
          </w:p>
        </w:tc>
      </w:tr>
    </w:tbl>
    <w:p>
      <w:pPr>
        <w:pStyle w:val="Heading2"/>
      </w:pPr>
      <w:r>
        <w:t>50 轮时的取舍</w:t>
      </w:r>
    </w:p>
    <w:p>
      <w:r>
        <w:rPr>
          <w:b w:val="0"/>
        </w:rPr>
        <w:t>以 3 秒设置为例，coverage 相比 random 的平均 MAE 增加 0.001128 kWh（约 0.75%），模拟时间减少 19.83 秒（约 15.56%）。fastest 的 MAE 增加 0.003102 kWh（约 2.05%），模拟时间减少约 29.77%。百分比由跨种子均值计算。</w:t>
      </w:r>
    </w:p>
    <w:p>
      <w:r>
        <w:rPr>
          <w:b w:val="0"/>
        </w:rPr>
        <w:t>以上差异在三个配对种子的方向一致，但样本仅有三个；不能据此声称已证明统计显著、可推广到更大家庭群体，或已证明 coverage 提高了预测精度。完整 RMSE、家庭误差 p90 和逐种子数值保存在 groups.csv 与 runs.csv。</w:t>
      </w:r>
    </w:p>
    <w:p>
      <w:pPr>
        <w:pStyle w:val="Heading1"/>
        <w:pageBreakBefore/>
      </w:pPr>
      <w:r>
        <w:t>2 训练趋势与共同时间比较</w:t>
      </w:r>
    </w:p>
    <w:p>
      <w:pPr>
        <w:pStyle w:val="Heading2"/>
      </w:pPr>
      <w:r>
        <w:t>延长训练有效但不能统一判定收敛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016"/>
        <w:gridCol w:w="2160"/>
        <w:gridCol w:w="2304"/>
      </w:tblGrid>
      <w:tr>
        <w:trPr>
          <w:cantSplit/>
          <w:tblHeader/>
        </w:trPr>
        <w:tc>
          <w:tcPr>
            <w:tcW w:type="dxa" w:w="1584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调度 3秒</w:t>
            </w:r>
          </w:p>
        </w:tc>
        <w:tc>
          <w:tcPr>
            <w:tcW w:type="dxa" w:w="201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第10轮 MAE</w:t>
            </w:r>
          </w:p>
        </w:tc>
        <w:tc>
          <w:tcPr>
            <w:tcW w:type="dxa" w:w="201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第50轮 MAE</w:t>
            </w:r>
          </w:p>
        </w:tc>
        <w:tc>
          <w:tcPr>
            <w:tcW w:type="dxa" w:w="216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最后10轮均值</w:t>
            </w:r>
          </w:p>
        </w:tc>
        <w:tc>
          <w:tcPr>
            <w:tcW w:type="dxa" w:w="2304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末5轮减前5轮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0.16613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0.15141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0.15306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+0.00018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0.16938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0.15254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0.15454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-0.00166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0.16946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0.15647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-0.00210</w:t>
            </w:r>
          </w:p>
        </w:tc>
      </w:tr>
    </w:tbl>
    <w:p>
      <w:pPr>
        <w:spacing w:before="100"/>
      </w:pPr>
      <w:r>
        <w:rPr>
          <w:b w:val="0"/>
        </w:rPr>
        <w:t>从第 10 轮到第 50 轮，平均 MAE 分别下降约 8.86%、9.94%、8.82%。random 的最后两个 5 轮窗口已接近平稳，而 coverage 和 fastest 的后 5 轮均值仍更低。应保留逐轮曲线并预先确定训练上限或验证停止规则，不将 50 轮直接写为所有方案的最佳轮数。</w:t>
      </w:r>
    </w:p>
    <w:p>
      <w:pPr>
        <w:pStyle w:val="Heading2"/>
      </w:pPr>
      <w:r>
        <w:t>配对种子下的精度差异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种子</w:t>
            </w:r>
          </w:p>
        </w:tc>
        <w:tc>
          <w:tcPr>
            <w:tcW w:type="dxa" w:w="432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coverage − random</w:t>
            </w:r>
          </w:p>
        </w:tc>
        <w:tc>
          <w:tcPr>
            <w:tcW w:type="dxa" w:w="432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fastest − random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+0.000295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+0.003183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+0.001463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+0.003373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+0.001627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+0.002751</w:t>
            </w:r>
          </w:p>
        </w:tc>
      </w:tr>
    </w:tbl>
    <w:p>
      <w:pPr>
        <w:spacing w:before="100"/>
      </w:pPr>
      <w:r>
        <w:rPr>
          <w:b w:val="0"/>
        </w:rPr>
        <w:t>差值为正表示相对 random 的 MAE 更高；三个种子都是同轮数下 random 更低。3、10、60 秒之间的重复曲线不能被视作新增独立种子。</w:t>
      </w:r>
    </w:p>
    <w:p>
      <w:pPr>
        <w:pStyle w:val="Heading2"/>
      </w:pPr>
      <w:r>
        <w:t>相同模拟时间并没有显示稳定优势</w:t>
      </w:r>
    </w:p>
    <w:p>
      <w:r>
        <w:rPr>
          <w:b w:val="0"/>
        </w:rPr>
        <w:t>事后描述性比较：每个种子取三种调度第 50 轮累计模拟时间的最小值作为共同预算，取各自预算内最后一个完整轮次，不插值、不外推。3 秒条件的预算分别为 92.91、86.72、88.96 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608"/>
      </w:tblGrid>
      <w:tr>
        <w:trPr>
          <w:cantSplit/>
          <w:tblHeader/>
        </w:trPr>
        <w:tc>
          <w:tcPr>
            <w:tcW w:type="dxa" w:w="1584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调度</w:t>
            </w:r>
          </w:p>
        </w:tc>
        <w:tc>
          <w:tcPr>
            <w:tcW w:type="dxa" w:w="388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种子7 / 17 / 27轮次</w:t>
            </w:r>
          </w:p>
        </w:tc>
        <w:tc>
          <w:tcPr>
            <w:tcW w:type="dxa" w:w="460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MAE 均值 ± SD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36 / 34 / 34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0.15411 ± 0.00067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coverage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43 / 38 / 42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0.15455 ± 0.00337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fastest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50 / 50 / 50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0.15451 ± 0.00314</w:t>
            </w:r>
          </w:p>
        </w:tc>
      </w:tr>
    </w:tbl>
    <w:p>
      <w:pPr>
        <w:spacing w:before="100"/>
      </w:pPr>
      <w:r>
        <w:rPr>
          <w:b w:val="0"/>
        </w:rPr>
        <w:t>coverage 在种子 7、17 优于 random，在种子 27 更差；其平均 MAE 也略高。共同时间下三种均值接近，排序并不稳健。正式实验应预先固定时间预算或目标误差，再评估达到目标的成本，避免看到结果后挑选有利比较点。</w:t>
      </w:r>
    </w:p>
    <w:p>
      <w:pPr>
        <w:pStyle w:val="Heading1"/>
        <w:pageBreakBefore/>
      </w:pPr>
      <w:r>
        <w:t>3 超时与家庭参与的含义</w:t>
      </w:r>
    </w:p>
    <w:p>
      <w:pPr>
        <w:pStyle w:val="Heading2"/>
      </w:pPr>
      <w:r>
        <w:t>覆盖全部家庭不等于贡献均衡</w:t>
      </w:r>
    </w:p>
    <w:p>
      <w:r>
        <w:rPr>
          <w:b w:val="0"/>
        </w:rPr>
        <w:t>成功贡献指客户端返回结果且全局更新被应用；失败轮不计入贡献。下表为 3 个种子的均值，各档贡献是该档所有家庭在 50 轮中的累计成功次数。Jain 根据全部 12 户贡献次数计算，越接近 1 越均衡，不代表预测误差公平性。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1152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16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1584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零贡献户数</w:t>
            </w:r>
          </w:p>
        </w:tc>
        <w:tc>
          <w:tcPr>
            <w:tcW w:type="dxa" w:w="1152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Jain</w:t>
            </w:r>
          </w:p>
        </w:tc>
        <w:tc>
          <w:tcPr>
            <w:tcW w:type="dxa" w:w="172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慢档贡献</w:t>
            </w:r>
          </w:p>
        </w:tc>
        <w:tc>
          <w:tcPr>
            <w:tcW w:type="dxa" w:w="172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中档贡献</w:t>
            </w:r>
          </w:p>
        </w:tc>
        <w:tc>
          <w:tcPr>
            <w:tcW w:type="dxa" w:w="172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快档贡献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  3s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0.977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88.7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88.7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90.7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coverage  3s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0.669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43.7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47.3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179.0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fastest  3s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0.499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89.3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179.3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  1s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0.640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63.0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61.3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coverage  1s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0.515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47.3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159.0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fastest  1s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0.499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89.3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179.3</w:t>
            </w:r>
          </w:p>
        </w:tc>
      </w:tr>
    </w:tbl>
    <w:p>
      <w:pPr>
        <w:spacing w:before="100"/>
      </w:pPr>
      <w:r>
        <w:rPr>
          <w:b w:val="0"/>
        </w:rPr>
        <w:t>3 秒下 random 和 coverage 均覆盖全部家庭，但 coverage 的快档贡献约为慢档的 4.1 倍。fastest 在所有超时条件下都有 6 户从未贡献，包括全部 4 户慢档和 2 户中档。固定预测耗时与客户端编号的排序，使其反复选择同一批快客户端。</w:t>
      </w:r>
    </w:p>
    <w:p>
      <w:r>
        <w:rPr>
          <w:b w:val="0"/>
        </w:rPr>
        <w:t>coverage 每轮保留 ceil(6 × 0.25)=2 个名额，优先照顾较久未被选择的客户端，再按速度补足。这里记录的是“上次被选择”，并非“上次成功贡献”；因此它改善选择机会，但不保证成功贡献均衡，也不保证最差家庭预测误差改善。</w:t>
      </w:r>
    </w:p>
    <w:p>
      <w:pPr>
        <w:pStyle w:val="Heading2"/>
      </w:pPr>
      <w:r>
        <w:t>1 秒是压力场景 3 秒是本模型下的参考场景</w:t>
      </w:r>
    </w:p>
    <w:p>
      <w:r>
        <w:rPr>
          <w:b w:val="0"/>
        </w:rPr>
        <w:t>当前校准下，三档预计完成时间约 0.39 / 0.86 / 2.13 秒，并有 ±10% 波动。1 秒会排除全部慢档的成功返回。random 平均 21.33 / 50 轮无法更新，coverage 为 8 / 50，fastest 为 0.67 / 50。coverage 的预留名额无法补救一个本就不可行的截止时间。</w:t>
      </w:r>
    </w:p>
    <w:p>
      <w:r>
        <w:rPr>
          <w:b w:val="0"/>
        </w:rPr>
        <w:t>3、10、60 秒容纳了相同的非掉线返回，因此同调度同种子的完整验证指标逐轮完全一致。模拟器只要发现选中者中有人掉线或超时，就计入整段 deadline，即使已有 4 户足够聚合也不提前结束。延长超时因而主要增加等待成本，不增加本批模型更新。</w:t>
      </w:r>
    </w:p>
    <w:p>
      <w:r>
        <w:rPr>
          <w:b w:val="0"/>
        </w:rPr>
        <w:t>3 秒可以作为当前 CPU 校准模型的参考设置，1 秒保留为压力对照；不能将 3 秒外推为真实设备或 L20 的最优超时。正式实验需要说明是否保持该虚拟设备模型，或在重新校准后重新确定时间尺度。</w:t>
      </w:r>
    </w:p>
    <w:p>
      <w:pPr>
        <w:pStyle w:val="Heading1"/>
        <w:pageBreakBefore/>
      </w:pPr>
      <w:r>
        <w:t>4 算力条件与实际耗时异常</w:t>
      </w:r>
    </w:p>
    <w:p>
      <w:pPr>
        <w:pStyle w:val="Heading2"/>
      </w:pPr>
      <w:r>
        <w:t>当前工作负载可以由笔记本承担</w:t>
      </w:r>
    </w:p>
    <w:p>
      <w:r>
        <w:rPr>
          <w:b w:val="0"/>
        </w:rPr>
        <w:t>本批 12 户、小型 GRU、每轮 6 户固定步数的任务已在 CPU 上完成。校准的单 step 中位数为 0.03575 秒；36 次运行记录的峰值进程 RSS 约 300.7–303.4 MB，单轮实测时间中位数为 2.81 秒，单次 50 轮累计时间中位数为 150.38 秒。RSS 不含完整数据存储或整机内存需求。</w:t>
      </w:r>
    </w:p>
    <w:p>
      <w:r>
        <w:rPr>
          <w:b w:val="0"/>
        </w:rPr>
        <w:t>全部运行累计记录时间为 8.77 小时，明显高于初始线性预算。这个值是每次 run 记录耗时之和，并非已核实的连续人类等待时长或有效计算工时。少数轮次存在异常长耗时，必须保留并单列，不能用整体平均值比较调度速度。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1296"/>
        <w:gridCol w:w="2520"/>
        <w:gridCol w:w="2736"/>
      </w:tblGrid>
      <w:tr>
        <w:trPr>
          <w:cantSplit/>
          <w:tblHeader/>
        </w:trPr>
        <w:tc>
          <w:tcPr>
            <w:tcW w:type="dxa" w:w="3528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运行</w:t>
            </w:r>
          </w:p>
        </w:tc>
        <w:tc>
          <w:tcPr>
            <w:tcW w:type="dxa" w:w="129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异常轮次</w:t>
            </w:r>
          </w:p>
        </w:tc>
        <w:tc>
          <w:tcPr>
            <w:tcW w:type="dxa" w:w="2520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该轮实测秒数</w:t>
            </w:r>
          </w:p>
        </w:tc>
        <w:tc>
          <w:tcPr>
            <w:tcW w:type="dxa" w:w="2736"/>
            <w:vAlign w:val="center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该run累计秒数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random_d60_s27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13,887.51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14,064.69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random_d60_s7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2,572.41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3,453.35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coverage_d3_s17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2,319.95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3,377.99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fastest_d3_s27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938.27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1,944.15</w:t>
            </w:r>
          </w:p>
        </w:tc>
      </w:tr>
    </w:tbl>
    <w:p>
      <w:pPr>
        <w:spacing w:before="100"/>
      </w:pPr>
      <w:r>
        <w:rPr>
          <w:b w:val="0"/>
        </w:rPr>
        <w:t>最明显的是 random_d60_s27 第 9 轮，记录 13,887.51 秒，约 3.86 小时；该 run 总计 14,064.69 秒，其中逐轮计时合计 14,056.04 秒。异常主要落在轮内计时，不能仅用轮间保存开销解释。现有记录无法判定是系统睡眠、后台负载还是其他停顿，不应写成已确证原因。</w:t>
      </w:r>
    </w:p>
    <w:p>
      <w:pPr>
        <w:pStyle w:val="Heading2"/>
      </w:pPr>
      <w:r>
        <w:t>迁移 L20 时需要重新测量什么</w:t>
      </w:r>
    </w:p>
    <w:p>
      <w:r>
        <w:rPr>
          <w:b w:val="0"/>
        </w:rPr>
        <w:t>大规模阶段应在节点上独立安装 CUDA 环境，重新测量目标模型、batch size、线程和数据加载设置。先跑一个受控短任务，记录训练、验证、保存各段时间及 GPU 利用率，再估算总预算。该小 GRU 不保证在 GPU 上更快，现有 CPU 数据也不足以估算 60 户、多基线与隐私实验的卡时。</w:t>
      </w:r>
    </w:p>
    <w:p>
      <w:r>
        <w:rPr>
          <w:b w:val="0"/>
        </w:rPr>
        <w:t>后续计时建议同时保留单调墙钟、进程 CPU 时间、各阶段耗时和可获得的系统或 GPU 利用率。正式效率结论应来自受控测量；异常原始记录照常保存，若另报过滤后的统计，必须事先说明规则并同时展示未过滤结果。</w:t>
      </w:r>
    </w:p>
    <w:p>
      <w:pPr>
        <w:pStyle w:val="Heading2"/>
      </w:pPr>
      <w:r>
        <w:t>模拟结果的适用范围</w:t>
      </w:r>
    </w:p>
    <w:p>
      <w:r>
        <w:rPr>
          <w:b w:val="0"/>
        </w:rPr>
        <w:t>设备速度、网络带宽、电池和内存限制是模拟假设；本批未使用真实家庭网关，也未实测网络通信或设备能耗。模拟秒数只能支持模型假设下的调度比较。当前 plain 聚合、DP 关闭，不能从本批结果得出隐私预算、真实安全聚合开销或 INT8 压缩结论。</w:t>
      </w:r>
    </w:p>
    <w:p>
      <w:pPr>
        <w:pStyle w:val="Heading1"/>
        <w:pageBreakBefore/>
      </w:pPr>
      <w:r>
        <w:t>5 正式实验前的准备与证据保留</w:t>
      </w:r>
    </w:p>
    <w:p>
      <w:pPr>
        <w:pStyle w:val="Heading2"/>
      </w:pPr>
      <w:r>
        <w:t>下一阶段需要固定的设计</w:t>
      </w:r>
    </w:p>
    <w:p>
      <w:r>
        <w:rPr>
          <w:b w:val="0"/>
        </w:rPr>
        <w:t>1  扩展家庭范围与预测基线。准备独立标识的 60 户数据版本，保存家庭清单、时间切分、预处理参数和指纹；在相同窗口补齐季节性、local、centralized 与联邦基线。原 pilot 第 10 轮 MAE 为 0.16536 kWh，仅用于流程回顾；不能替代这些正式对照。</w:t>
      </w:r>
    </w:p>
    <w:p>
      <w:r>
        <w:rPr>
          <w:b w:val="0"/>
        </w:rPr>
        <w:t>2  保留调度取舍而不提前宣布赢家。继续保留 random、fastest、coverage；明确主指标、共同时间预算和训练停止规则。增加独立种子，并随机化家庭与资源档位的映射。当前映射按家庭顺序循环分配且跨种子不变，家庭数据差异与硬件档位可能混杂。</w:t>
      </w:r>
    </w:p>
    <w:p>
      <w:r>
        <w:rPr>
          <w:b w:val="0"/>
        </w:rPr>
        <w:t>3  明确时间模型。说明是否等待所有选中者到截止时间，或在满足条件后提前聚合。若修改等待规则，应使用新配置与新运行目录，重新做对照，不与本批直接拼接。将算法执行机器与虚拟设备参数分别记录。</w:t>
      </w:r>
    </w:p>
    <w:p>
      <w:r>
        <w:rPr>
          <w:b w:val="0"/>
        </w:rPr>
        <w:t>4  分阶段验证隐私和压缩。预测与调度方案固定后再增加 DP、压缩或安全聚合对照，分别记录精度、通信和资源成本。masking_sim 只是掩码正确性模拟，当前实现不是真实 Flower SecAgg+，不能写成已完成安全协议部署。</w:t>
      </w:r>
    </w:p>
    <w:p>
      <w:r>
        <w:rPr>
          <w:b w:val="0"/>
        </w:rPr>
        <w:t>5  冻结方案后再使用测试集。当前 36 次 run 未发现测试输出，本分析没有训练或测试模型。保留验证选择过程；最终测试只针对冻结的配置和预先说明的 checkpoint 规则开展。</w:t>
      </w:r>
    </w:p>
    <w:p>
      <w:pPr>
        <w:pStyle w:val="Heading2"/>
      </w:pPr>
      <w:r>
        <w:t>本次生成的可复核材料</w:t>
      </w:r>
    </w:p>
    <w:p>
      <w:r>
        <w:rPr>
          <w:b w:val="0"/>
        </w:rPr>
        <w:t>项目根目录：D:\AIEproject\MAIE5532_MLS\final</w:t>
        <w:br/>
        <w:t>分析目录：reports/preexperiment_analysis_v1/。其中 analysis.json 为结构化汇总；runs.csv、groups.csv 保存逐次和跨种子结果；paired.csv 保存配对差值；same_time.csv 保存共同时间比较；household_participation.csv 与 rounds.csv 保存逐户及逐轮明细。</w:t>
      </w:r>
    </w:p>
    <w:p>
      <w:r>
        <w:rPr>
          <w:b w:val="0"/>
        </w:rPr>
        <w:t>evidence_sha256.json 记录本次分析所读配置、元数据、状态、资源轨迹、逐轮指标及客户端记录的 SHA256。它是分析时点的来源快照，不是训练前的防篡改证明，也不替代整个 run 的 seal/verify。可用 scripts/analyze_preexperiment.py 重新提取数值；不启动训练、不调用测试。</w:t>
      </w:r>
    </w:p>
    <w:p>
      <w:r>
        <w:rPr>
          <w:b w:val="0"/>
        </w:rPr>
        <w:t>仍需保存完整 runs/laptop_validation_v1、reports/plans/laptop_validation_v1、原 pilot、校准报告、处理后数据与清单，以及当前源码。36 次 run 尚无 integrity.json；README 保留逐次 seal/verify 命令，之后应将完整证据备份到独立存储。只保存 Word 或 HTML 无法复核模型与逐轮结果。</w:t>
      </w:r>
    </w:p>
    <w:p>
      <w:r>
        <w:rPr>
          <w:b/>
        </w:rPr>
        <w:t>结论用途：本批预实验已足以支持正式实验设计的修订与准备，但尚不足以支持真实部署效率、总体人群效果、隐私收益或某调度全面优越的结论。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验证集结果  ·  2026年10月29日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MAIE5532  家庭能源预测  |  预实验分析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widowControl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59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家庭能源预测预实验结论</dc:title>
  <dc:subject>LCL 12户 36次验证实验分析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