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EAIT v0.13 Submission Hygiene Audit 20260520</w:t>
      </w:r>
    </w:p>
    <w:p>
      <w:pPr>
        <w:pStyle w:val="Heading1"/>
      </w:pPr>
      <w:r>
        <w:t>Scope</w:t>
      </w:r>
    </w:p>
    <w:p>
      <w:pPr>
        <w:spacing w:after="120" w:line="264" w:lineRule="auto"/>
      </w:pPr>
      <w:r>
        <w:t>This audit records the v0.13 submission-hygiene pass for CP-MissingBridgeBench. The pass converts the current manuscript package toward LaTeX and Word deliverables, tightens ethics/privacy/data-availability wording, and verifies number and claim-gate consistency. It does not add experiments, add main conditions, recompute dialogue-state v3 tables, modify online AIChat, change prompts, enable active mode, or change student-visible responses.</w:t>
      </w:r>
    </w:p>
    <w:p>
      <w:pPr>
        <w:pStyle w:val="Heading1"/>
      </w:pPr>
      <w:r>
        <w:t>Files Produced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artifact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file path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Manuscript LaTeX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docs/research/...v0_13_submission_hygiene.tex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LaTeX manuscript draft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Manuscript Word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docs/research/...v0_13_submission_hygiene.docx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Word manuscript draft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Bibliography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docs/research/eait_v0_13_references_20260520.bib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keep-only bibliography synchronized with v0.13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Audit LaTeX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docs/research/eait_v0_13_submission_hygiene_audit_20260520.tex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LaTeX audit record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Audit Word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docs/research/eait_v0_13_submission_hygiene_audit_20260520.docx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Word audit record</w:t>
            </w:r>
          </w:p>
        </w:tc>
      </w:tr>
    </w:tbl>
    <w:p/>
    <w:p>
      <w:pPr>
        <w:pStyle w:val="Heading1"/>
      </w:pPr>
      <w:r>
        <w:t>Result-Number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number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manuscript use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verification source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reviewed dialogue-state cases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evidence manifest and manuscript v0.12/v0.13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anonymized offline harnesses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evidence manifest and harness table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350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response-level outputs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50 cases x 7 harnesses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main_scaffold_eval headline cases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evidence manifest headline slice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217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response-level reviews in headline slice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31 cases x 7 harnesses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non-headline dialogue-state cases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50 minus 31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133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response-level reviews in remaining slices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19 cases x 7 harnesses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1156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raw AIChat message rows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real-student online pilot workflow 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87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online AIChat sessions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real-student online pilot workflow 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578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paired user-assistant turns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real-student online pilot workflow 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137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substantial candidate turns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real-student online pilot workflow 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59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candidate sessions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real-student online pilot workflow 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selected pilot candidate cases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real-student online pilot workflow 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hashed students covered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real-student online pilot workflow 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hashed problems covered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real-student online pilot workflow 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human coach dry-run cases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real-student online pilot workflow 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focus cases selected for second-coach review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real-student online pilot workflow 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adjudication rows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real-student online pilot workflow 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reportable case-level evidence after gate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real-student online pilot workflow 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80-100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planned Real-AIChat observational target turns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protocol layer only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 as planned, not completed result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30/50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planned Real-AIChat-Replay subset sizes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protocol layer only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 as planned, not completed result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20-30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planned real trajectory subset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protocol layer only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verified as planned, not completed result</w:t>
            </w:r>
          </w:p>
        </w:tc>
      </w:tr>
    </w:tbl>
    <w:p/>
    <w:p>
      <w:pPr>
        <w:pStyle w:val="Heading1"/>
      </w:pPr>
      <w:r>
        <w:t>Claim-Gate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gate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v0.13 status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no new dialogue-state v3 main experiment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no new main condition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no main-table recomputation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no online AIChat / prompt / active-mode modification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sensitivity / stress / calibration / pilot not main result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Coach A/B/priority60 not final gold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all-50 aggregate not headline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217 responses not independent cases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no significant/full dominance claim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no Guard-only repair claim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no Repair causal claim from main means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LLM grader remains auxiliary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observed current AIChat response not baseline/condition/control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real-student pilot not learning outcome study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b w:val="0"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v0.13 Changes</w:t>
      </w:r>
    </w:p>
    <w:p>
      <w:pPr>
        <w:spacing w:after="120" w:line="264" w:lineRule="auto"/>
      </w:pPr>
      <w:r>
        <w:t>The only manuscript prose change is the replacement of the previous combined ethics/privacy/data-availability paragraph block with a more submission-ready section containing: study boundary, public materials and reproducibility, restricted materials, real-student AIChat pilot boundary, data availability statement, and AI writing disclosure. No results section, table value, experimental condition, evidence hierarchy, or citation decision was changed.</w:t>
      </w:r>
    </w:p>
    <w:p>
      <w:pPr>
        <w:pStyle w:val="Heading1"/>
      </w:pPr>
      <w:r>
        <w:t>Remaining Human Checks</w:t>
      </w:r>
    </w:p>
    <w:p>
      <w:pPr>
        <w:spacing w:after="120" w:line="264" w:lineRule="auto"/>
      </w:pPr>
      <w:r>
        <w:t>1. Confirm EAIT / Springer final reference style. 2. Confirm whether zhao2026answerLeakage remains acceptable as an arXiv preprint citation. 3. Final-check DBox ACM/CHI BibTeX before submission. 4. Conduct final result-number verification against the source tables immediately before submission. 5. Complete institutional ethics/privacy/data availability wording review. 6. Keep real-student case-level labels and examples out of public materials until consent/reporting eligibility is documented.</w:t>
      </w:r>
    </w:p>
    <w:p>
      <w:pPr>
        <w:pStyle w:val="Heading1"/>
      </w:pPr>
      <w:r>
        <w:t>Formatting Verification</w:t>
      </w:r>
    </w:p>
    <w:p>
      <w:pPr>
        <w:spacing w:after="120" w:line="264" w:lineRule="auto"/>
      </w:pPr>
      <w:r>
        <w:t>The v0.13 LaTeX manuscript compiles with latexmk -xelatex using eait_v0_13_references_20260520.bib. The Word manuscript is structurally valid and contains the expected title, sections, tables, and references. Full LibreOffice-based page rendering could not be completed on this machine because soffice is not installed; Quick Look thumbnail preview was used only as a limited visual smoke test.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