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2F46B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石油价格管理办法</w:t>
      </w:r>
    </w:p>
    <w:p w14:paraId="1BA92AE6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第一章 总则</w:t>
      </w:r>
    </w:p>
    <w:p w14:paraId="7B6FD23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第一条 为规范石油价格行为，根据《中华人民共和国价格法》和《国务院关于实施成品油价格和税费改革的通知》(国发[2008]37号)等有关规定，制定本办法。</w:t>
      </w:r>
    </w:p>
    <w:p w14:paraId="524195C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第二条 在中华人民共和国境内从事石油生产、批发和零售等经营活动的价格行为，适用本办法。</w:t>
      </w:r>
    </w:p>
    <w:p w14:paraId="48B7094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第三条 本办法所称石油包括原油和成品油，成品油指汽油、柴油。石油价格包括原油价格和成品油价格。成品油价格根据流通环节和销售方式，区分为供应价格、批发价格和零售价格。</w:t>
      </w:r>
    </w:p>
    <w:p w14:paraId="6387A2F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第四条 原油价格实行市场调节价。成品油区别情况，分别实行政府指导价和政府定价。</w:t>
      </w:r>
    </w:p>
    <w:p w14:paraId="689C202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(一)汽、柴油零售价格和批发价格，向社会批发企业和铁路、交通等专项用户供应汽、柴油供应价格，实行政府指导价。</w:t>
      </w:r>
    </w:p>
    <w:p w14:paraId="06DBC01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(二)向国家储备和新疆生产建设兵团供应汽、柴油供应价格，实行政府定价。</w:t>
      </w:r>
    </w:p>
    <w:p w14:paraId="2EC47E82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第二章 价格制定与调整</w:t>
      </w:r>
    </w:p>
    <w:p w14:paraId="7331E78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第五条 汽、柴油最高零售价格以国际市场原油价格为基础，考虑国内平均加工成本、税金、合理流通环节费用和适当利润确定。</w:t>
      </w:r>
    </w:p>
    <w:p w14:paraId="4B154C5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第六条 当国际市场原油价格低于每桶40美元(含)时，按原油价格每桶40美元、正常加工利润率计算成品油价格。高于每桶40美元低于80美元(含)时，按正常加工利润率计算成品油价格。高于每桶80美元时，开始扣减加工利润率，直至按加工零利润计算成品油价格。高于每桶130美元(含)时，按照兼顾生产者、消费者利益，保持国民经济平稳运行的原则，采取适当财税政策保证成品油生产和供应，汽、柴油价格原则上不提或少提。</w:t>
      </w:r>
    </w:p>
    <w:p w14:paraId="1941BE0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第七条 汽、柴油价格根据国际市场原油价格变化每10个工作日调整一次。调价生效时间为调价发布日24时。当调价幅度低于每吨50元时，不作调整，纳入下次调价时累加或冲抵。</w:t>
      </w:r>
    </w:p>
    <w:p w14:paraId="3C09C14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当国内价格总水平出现显著上涨或发生重大突发事件，以及国际市场油价异常波动等特殊情形需对成品油价格进行调控时，由国家发展改革委报请国务院同意后，可以暂停、延迟调价，或缩小调价幅度。特殊情形结束后，由国家发展改革委报请国务院同意，成品油价格调整继续按照本办法确定的规则执行。</w:t>
      </w:r>
    </w:p>
    <w:p w14:paraId="346C3BE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第八条 已实行全省统一价格的省(自治区、直辖市)以及暂未实行全省统一价格的省(自治区、直辖市)中心城市，汽、柴油最高零售价格按本办法第五条确定。暂未实行全省统一价格的省(自治区、直辖市)非中心城市，汽、柴油最高零售价格以中心城市最高零售价格为基础加(减)地区间价差确定。</w:t>
      </w:r>
    </w:p>
    <w:p w14:paraId="58E9B29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地区间价差由省级价格主管部门依据运杂费等因素核定。省内划分的价区原则上不超过3个，价区之间的价差不高于每吨100元。省际之间价差应适当衔接。省级价格主管部门要将省内价区具体安排报国家发展改革委备案。成品油零售企业在不超过汽、柴油最高零售价格的前提下，自主制定具体零售价格。</w:t>
      </w:r>
    </w:p>
    <w:p w14:paraId="31D9016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第九条 成品油批发企业对零售企业的汽、柴油最高批发价格，合同约定由供方配送到零售企业的，按最高零售价格每吨扣减300元确定；合同未约定由供方配送的，在每吨扣减300元的基础上再减运杂费确定。运杂费由省级价格主管部门制定。</w:t>
      </w:r>
    </w:p>
    <w:p w14:paraId="6AB1990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成品油批发企业在不超过汽、柴油最高批发价格的前提下，与零售企业协商确定具体批发价格。当市场零售价格降低时，批发价格要相应降低。合同约定由供方配送的，批零价差不得低于每吨300元，并不得另外收取运杂费；合同未约定由供方配送的，扣除运杂费后，批零价差不得低于每吨300元，并不得强制配送。</w:t>
      </w:r>
    </w:p>
    <w:p w14:paraId="3795294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第十条 成品油生产经营企业对具备国家规定资质的社会批发企业的汽、柴油最高供应价格，按最高零售价格每吨扣减400元确定。</w:t>
      </w:r>
    </w:p>
    <w:p w14:paraId="7CCF732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成品油生产经营企业在不超过汽、柴油最高供应价格的前提下，与社会批发企业协商确定具体价格。当市场零售价格降低时，对社会批发企业供应价格相应降低，价差不得低于每吨400元。</w:t>
      </w:r>
    </w:p>
    <w:p w14:paraId="6B5500C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第十一条 成品油生产经营企业对铁路、交通等专项用户的汽、柴油最高供应价格，按全国平均最高零售价格每吨扣减400元确定。</w:t>
      </w:r>
    </w:p>
    <w:p w14:paraId="73C443AA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成品油生产经营企业在不超过最高供应价格的前提下，与铁路、交通等专项用户协商确定具体供应价格；当市场零售价格降低时，对专项用户供应价格相应降低。</w:t>
      </w:r>
    </w:p>
    <w:p w14:paraId="77A5B24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专项用户是指历史上已形成独立供油系统的大用户，具体名单由国家发展改革委确定。</w:t>
      </w:r>
    </w:p>
    <w:p w14:paraId="63A9B49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第十二条 成品油生产经营企业对国家储备、新疆生产建设兵团汽、柴油供应价格，按全国平均最高零售价格扣减流通环节差价确定。</w:t>
      </w:r>
    </w:p>
    <w:p w14:paraId="1F2E183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第十三条 本办法第五条至第十二条汽油、柴油价格均指标准品价格。国家发展改革委制定成品油标准品与非标准品的品质比率。非标准品价格按照标准品价格和规定的品质比率确定。</w:t>
      </w:r>
    </w:p>
    <w:p w14:paraId="267BDC9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第十四条 省级价格主管部门会同有关部门制定本省(自治区、直辖市)汽、柴油吨与升折算的系数。</w:t>
      </w:r>
    </w:p>
    <w:p w14:paraId="25F53EB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第十五条 乙醇汽油价格政策按同一市场同标号普通汽油价格政策执行。</w:t>
      </w:r>
    </w:p>
    <w:p w14:paraId="70A310F9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第三章 信息发布</w:t>
      </w:r>
    </w:p>
    <w:p w14:paraId="5715464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第十六条 国家发展改革委在门户网站公布按吨计算的汽、柴油标准品最高零售价格，国家储备、新疆生产建设兵团用汽、柴油供应价格，以及汽油、柴油标准品与非标准品的品质比率。</w:t>
      </w:r>
    </w:p>
    <w:p w14:paraId="6C5FE21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第十七条 省级价格主管部门在指定网站公布本地区汽、柴油标准品和非标准品最高批发价格和最高零售价格。</w:t>
      </w:r>
    </w:p>
    <w:p w14:paraId="4AE90B5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第十八条 主要成品油生产经营企业通过所在地新闻媒体公布本公司的汽、柴油具体批发价格和零售价格。</w:t>
      </w:r>
    </w:p>
    <w:p w14:paraId="1564D2B8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第四章价格监督检查</w:t>
      </w:r>
    </w:p>
    <w:p w14:paraId="634A105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第十九条 成品油批发、零售企业要在显著位置标识成品油的品名、规格、计价单位、价格等信息。经营企业在销售成品油时，不得以其它名目在国家规定的成品油价格之外加收或代收任何费用。</w:t>
      </w:r>
    </w:p>
    <w:p w14:paraId="39E964D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第二十条 价格主管部门依法对成品油生产、批发和零售企业的价格活动进行检查，并依照法律法规规定对价格违法行为实施行政处罚。</w:t>
      </w:r>
    </w:p>
    <w:p w14:paraId="1E811281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第五章 附则</w:t>
      </w:r>
    </w:p>
    <w:p w14:paraId="4960908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第二十一条 本办法由国家发展改革委负责解释。</w:t>
      </w:r>
    </w:p>
    <w:p w14:paraId="61E1549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第二十二条 本办法自公布之日起施行，原《石油价格管理办法(试行)》同时废止。</w:t>
      </w:r>
    </w:p>
    <w:p w14:paraId="7DA966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6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2026-05-13T12:40:40Z</dcterms:created>
  <dc:creator>ZRY</dc:creator>
  <cp:lastModifiedBy>周瑞阳</cp:lastModifiedBy>
  <dcterms:modified xsi:type="dcterms:W3CDTF">2026-05-13T12:40:45Z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eyJoZGlkIjoiNTJlZjAyN2Y4YzI3OGYxZGY2OWEwYjdkY2Y0MjNhNmQiLCJ1c2VySWQiOiIxNjg2OTk1MTQ5In0=</vt:lpwstr>
  </property>
  <property fmtid="{D5CDD505-2E9C-101B-9397-08002B2CF9AE}" pid="4" name="ICV">
    <vt:lpwstr>7708037A507E43D89F18D95820FF2D44_12</vt:lpwstr>
  </property>
</Properties>
</file>