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20D6F">
      <w:pPr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W : WTI国际价格(美元/桶)</w:t>
      </w:r>
    </w:p>
    <w:p w14:paraId="42F3FCE8">
      <w:pPr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B : Brent国际价格(美元/桶)</w:t>
      </w:r>
    </w:p>
    <w:p w14:paraId="53C9F168">
      <w:pPr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BA : Basket国际价格(美元/桶)</w:t>
      </w:r>
    </w:p>
    <w:p w14:paraId="6B815060">
      <w:pPr>
        <w:rPr>
          <w:rFonts w:hint="eastAsia" w:hAnsi="Cambria Math"/>
          <w:i w:val="0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: 加权价格(美元/桶)</w:t>
      </w:r>
    </w:p>
    <w:p w14:paraId="5B5CC67D">
      <w:pPr>
        <w:rPr>
          <w:rFonts w:hint="default" w:hAnsi="Cambria Math"/>
          <w:i w:val="0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eastAsia" w:ascii="Cambria Math" w:hAnsi="Cambria Math"/>
                <w:lang w:val="en-US" w:eastAsia="zh-CN"/>
              </w:rPr>
              <m:t>、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r>
              <m:rPr/>
              <w:rPr>
                <w:rFonts w:hint="eastAsia" w:ascii="Cambria Math" w:hAnsi="Cambria Math"/>
                <w:lang w:val="en-US" w:eastAsia="zh-CN"/>
              </w:rPr>
              <m:t>、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: 权重(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+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+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=1</m:t>
        </m:r>
      </m:oMath>
      <w:r>
        <w:rPr>
          <w:rFonts w:hint="eastAsia" w:hAnsi="Cambria Math"/>
          <w:i w:val="0"/>
          <w:lang w:val="en-US" w:eastAsia="zh-CN"/>
        </w:rPr>
        <w:t>)</w:t>
      </w:r>
    </w:p>
    <w:p w14:paraId="3E413554">
      <w:pPr>
        <w:rPr>
          <w:rFonts w:hint="default" w:hAnsi="Cambria Math" w:cstheme="minorBidi"/>
          <w:i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O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∗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W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∗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B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3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∗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BA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</m:oMath>
      </m:oMathPara>
    </w:p>
    <w:p w14:paraId="69C11715">
      <w:pPr>
        <w:rPr>
          <w:rFonts w:hint="default" w:hAnsi="Cambria Math" w:cstheme="minorBidi"/>
          <w:i/>
          <w:kern w:val="2"/>
          <w:sz w:val="21"/>
          <w:szCs w:val="24"/>
          <w:lang w:val="en-US" w:eastAsia="zh-CN" w:bidi="ar-SA"/>
        </w:rPr>
      </w:pPr>
    </w:p>
    <w:p w14:paraId="08002F77">
      <w:pPr>
        <w:rPr>
          <w:rFonts w:hint="default" w:hAnsi="Cambria Math" w:cstheme="minorBidi"/>
          <w:i/>
          <w:kern w:val="2"/>
          <w:sz w:val="21"/>
          <w:szCs w:val="24"/>
          <w:lang w:val="en-US" w:eastAsia="zh-CN" w:bidi="ar-SA"/>
        </w:rPr>
      </w:pPr>
    </w:p>
    <w:p w14:paraId="6E8E61A1">
      <w:pPr>
        <w:rPr>
          <w:rFonts w:hint="default" w:hAnsi="Cambria Math" w:eastAsiaTheme="minorEastAsia" w:cstheme="minorBidi"/>
          <w:i/>
          <w:kern w:val="2"/>
          <w:sz w:val="21"/>
          <w:szCs w:val="24"/>
          <w:lang w:val="en-US" w:eastAsia="zh-CN" w:bidi="ar-SA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O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acc>
      </m:oMath>
      <w:r>
        <w:rPr>
          <w:rFonts w:hint="eastAsia" w:hAnsi="Cambria Math"/>
          <w:i w:val="0"/>
          <w:lang w:val="en-US" w:eastAsia="zh-CN"/>
        </w:rPr>
        <w:t xml:space="preserve"> : </w:t>
      </w:r>
      <w:r>
        <w:rPr>
          <w:rFonts w:hint="eastAsia" w:hAnsi="Cambria Math"/>
          <w:i w:val="0"/>
          <w:iCs/>
          <w:lang w:val="en-US" w:eastAsia="zh-CN"/>
        </w:rPr>
        <w:t>10天的均价</w:t>
      </w:r>
      <w:r>
        <w:rPr>
          <w:rFonts w:hint="eastAsia" w:hAnsi="Cambria Math"/>
          <w:i w:val="0"/>
          <w:lang w:val="en-US" w:eastAsia="zh-CN"/>
        </w:rPr>
        <w:t>(美元)</w:t>
      </w:r>
    </w:p>
    <w:p w14:paraId="7EC6722C">
      <w:pPr>
        <w:rPr>
          <w:rFonts w:hint="default" w:hAnsi="Cambria Math"/>
          <w:i w:val="0"/>
          <w:lang w:val="en-US" w:eastAsia="zh-CN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O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acc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10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i</m:t>
              </m:r>
              <m:r>
                <m:rPr/>
                <w:rPr>
                  <w:rFonts w:ascii="Cambria Math" w:hAnsi="Cambria Math"/>
                  <w:lang w:val="en-US"/>
                </w:rPr>
                <m:t>∈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  <m:sup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O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nary>
        </m:oMath>
      </m:oMathPara>
    </w:p>
    <w:p w14:paraId="31656EEF">
      <w:pPr>
        <w:rPr>
          <w:rFonts w:hint="default" w:hAnsi="Cambria Math"/>
          <w:i w:val="0"/>
          <w:lang w:val="en-US" w:eastAsia="zh-CN"/>
        </w:rPr>
      </w:pPr>
    </w:p>
    <w:p w14:paraId="232529B4">
      <w:pPr>
        <w:rPr>
          <w:rFonts w:hint="eastAsia" w:hAnsi="Cambria Math" w:eastAsiaTheme="minorEastAsia"/>
          <w:i w:val="0"/>
          <w:lang w:val="en-US" w:eastAsia="zh-CN"/>
        </w:rPr>
      </w:pPr>
      <m:oMath>
        <m:acc>
          <m:accPr>
            <m:chr m:val="̃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O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t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acc>
      </m:oMath>
      <w:r>
        <w:rPr>
          <w:rFonts w:hint="eastAsia" w:hAnsi="Cambria Math"/>
          <w:i w:val="0"/>
          <w:lang w:val="en-US" w:eastAsia="zh-CN"/>
        </w:rPr>
        <w:t xml:space="preserve"> :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O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acc>
      </m:oMath>
      <w:r>
        <w:rPr>
          <w:rFonts w:hint="eastAsia" w:hAnsi="Cambria Math"/>
          <w:i w:val="0"/>
          <w:lang w:val="en-US" w:eastAsia="zh-CN"/>
        </w:rPr>
        <w:t>过滤后的数值(美元)</w:t>
      </w:r>
    </w:p>
    <w:p w14:paraId="2E35E11E">
      <w:pPr>
        <w:rPr>
          <w:rFonts w:hint="default" w:hAnsi="Cambria Math"/>
          <w:i/>
          <w:lang w:val="en-US" w:eastAsia="zh-CN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acc>
          <m:r>
            <m:rPr/>
            <w:rPr>
              <w:rFonts w:hint="default" w:ascii="Cambria Math" w:hAnsi="Cambria Math"/>
              <w:lang w:val="en-US" w:eastAsia="zh-CN"/>
            </w:rPr>
            <m:t>=max(40,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O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acc>
          <m:r>
            <m:rPr/>
            <w:rPr>
              <w:rFonts w:hint="default" w:ascii="Cambria Math" w:hAnsi="Cambria Math"/>
              <w:lang w:val="en-US" w:eastAsia="zh-CN"/>
            </w:rPr>
            <m:t>)</m:t>
          </m:r>
        </m:oMath>
      </m:oMathPara>
    </w:p>
    <w:p w14:paraId="2E8B994E">
      <w:pPr>
        <w:rPr>
          <w:rFonts w:hint="default" w:hAnsi="Cambria Math"/>
          <w:i/>
          <w:lang w:val="en-US" w:eastAsia="zh-CN"/>
        </w:rPr>
      </w:pPr>
    </w:p>
    <w:p w14:paraId="215594AB">
      <w:pPr>
        <w:rPr>
          <w:rFonts w:hint="eastAsia" w:hAnsi="Cambria Math" w:cs="Cambria Math"/>
          <w:i w:val="0"/>
          <w:lang w:val="en-US" w:eastAsia="zh-CN"/>
        </w:rPr>
      </w:pPr>
      <m:oMath>
        <m:r>
          <m:rPr/>
          <w:rPr>
            <w:rFonts w:hint="default" w:ascii="Cambria Math" w:hAnsi="Cambria Math" w:cs="Cambria Math"/>
            <w:lang w:val="en-US" w:eastAsia="zh-CN"/>
          </w:rPr>
          <m:t>π</m:t>
        </m:r>
      </m:oMath>
      <w:r>
        <w:rPr>
          <w:rFonts w:hint="eastAsia" w:hAnsi="Cambria Math"/>
          <w:i w:val="0"/>
          <w:lang w:val="en-US" w:eastAsia="zh-CN"/>
        </w:rPr>
        <w:t xml:space="preserve"> : </w:t>
      </w:r>
      <w:r>
        <w:rPr>
          <w:rFonts w:hint="eastAsia" w:hAnsi="Cambria Math" w:cs="Cambria Math"/>
          <w:i w:val="0"/>
          <w:lang w:val="en-US" w:eastAsia="zh-CN"/>
        </w:rPr>
        <w:t>利润计算函数(人民币)</w:t>
      </w:r>
    </w:p>
    <w:p w14:paraId="3A606F40">
      <w:pPr>
        <w:rPr>
          <w:rFonts w:hint="eastAsia" w:hAnsi="Cambria Math" w:cs="Cambria Math"/>
          <w:i w:val="0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π</m:t>
            </m:r>
            <m:ctrlPr>
              <w:rPr>
                <w:rFonts w:hint="default" w:ascii="Cambria Math" w:hAnsi="Cambria Math" w:cs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0</m:t>
            </m:r>
            <m:ctrlPr>
              <w:rPr>
                <w:rFonts w:hint="default" w:ascii="Cambria Math" w:hAnsi="Cambria Math" w:cs="Cambria Math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: </w:t>
      </w:r>
      <w:r>
        <w:rPr>
          <w:rFonts w:hint="eastAsia" w:hAnsi="Cambria Math" w:cs="Cambria Math"/>
          <w:i w:val="0"/>
          <w:lang w:val="en-US" w:eastAsia="zh-CN"/>
        </w:rPr>
        <w:t>正常加工利润(人民币)</w:t>
      </w:r>
    </w:p>
    <w:p w14:paraId="0C94D6D5">
      <w:pPr>
        <w:rPr>
          <w:rFonts w:hint="default" w:hAnsi="Cambria Math" w:cs="Cambria Math"/>
          <w:i w:val="0"/>
          <w:lang w:val="en-US" w:eastAsia="zh-CN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lang w:val="en-US"/>
            </w:rPr>
            <m:t>π</m:t>
          </m:r>
          <m:r>
            <m:rPr>
              <m:sty m:val="p"/>
            </m:rPr>
            <w:rPr>
              <w:rFonts w:hint="default" w:ascii="Cambria Math" w:hAnsi="Cambria Math" w:cs="Cambria Math"/>
              <w:lang w:val="en-US" w:eastAsia="zh-CN"/>
            </w:rPr>
            <m:t>(x)=</m:t>
          </m:r>
          <m:d>
            <m:dPr>
              <m:begChr m:val="{"/>
              <m:endChr m:val=""/>
              <m:ctrlPr>
                <w:rPr>
                  <w:rFonts w:hint="default" w:ascii="Cambria Math" w:hAnsi="Cambria Math" w:cs="Cambria Math"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Cambria Math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>π</m:t>
                      </m:r>
                      <m:ctrl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lang w:val="en-US" w:eastAsia="zh-CN"/>
                    </w:rPr>
                    <m:t xml:space="preserve">          (x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≤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lang w:val="en-US" w:eastAsia="zh-CN"/>
                    </w:rPr>
                    <m:t>80)</m:t>
                  </m:r>
                  <m:ctrlPr>
                    <w:rPr>
                      <w:rFonts w:hint="default" w:ascii="Cambria Math" w:hAnsi="Cambria Math" w:cs="Cambria Math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>π</m:t>
                      </m:r>
                      <m:ctrl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∙</m:t>
                  </m:r>
                  <m:f>
                    <m:fPr>
                      <m:ctrlPr>
                        <w:rPr>
                          <w:rFonts w:hint="default" w:ascii="Cambria Math" w:hAnsi="Cambria Math" w:cs="Cambria Math"/>
                          <w:i w:val="0"/>
                          <w:lang w:val="en-US" w:eastAsia="zh-C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130−x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lang w:val="en-US" w:eastAsia="zh-CN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50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lang w:val="en-US" w:eastAsia="zh-CN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lang w:val="en-US" w:eastAsia="zh-CN"/>
                    </w:rPr>
                    <m:t xml:space="preserve">   (80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&lt;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lang w:val="en-US" w:eastAsia="zh-C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≤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lang w:val="en-US" w:eastAsia="zh-CN"/>
                    </w:rPr>
                    <m:t>130)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lang w:val="en-US" w:eastAsia="zh-CN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lang w:val="en-US" w:eastAsia="zh-CN"/>
                    </w:rPr>
                    <m:t>0              (x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&gt;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lang w:val="en-US" w:eastAsia="zh-CN"/>
                    </w:rPr>
                    <m:t>130)</m:t>
                  </m:r>
                  <m:ctrlPr>
                    <w:rPr>
                      <w:rFonts w:hint="default" w:ascii="Cambria Math" w:hAnsi="Cambria Math" w:cs="Cambria Math"/>
                      <w:lang w:val="en-US" w:eastAsia="zh-CN"/>
                    </w:rPr>
                  </m:ctrlPr>
                </m:e>
              </m:eqArr>
              <m:ctrlPr>
                <w:rPr>
                  <w:rFonts w:hint="default" w:ascii="Cambria Math" w:hAnsi="Cambria Math" w:cs="Cambria Math"/>
                  <w:lang w:val="en-US" w:eastAsia="zh-CN"/>
                </w:rPr>
              </m:ctrlPr>
            </m:e>
          </m:d>
        </m:oMath>
      </m:oMathPara>
    </w:p>
    <w:p w14:paraId="1FE3A5CA">
      <w:pPr>
        <w:rPr>
          <w:rFonts w:hint="default" w:hAnsi="Cambria Math"/>
          <w:i w:val="0"/>
          <w:lang w:val="en-US" w:eastAsia="zh-CN"/>
        </w:rPr>
      </w:pPr>
    </w:p>
    <w:p w14:paraId="71D451F0">
      <w:pPr>
        <w:rPr>
          <w:rFonts w:hint="eastAsia" w:hAnsi="Cambria Math"/>
          <w:i w:val="0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: 当日汇率</w:t>
      </w:r>
    </w:p>
    <w:p w14:paraId="748F3ACE">
      <w:pPr>
        <w:rPr>
          <w:rFonts w:hint="default" w:hAnsi="Cambria Math" w:eastAsiaTheme="minorEastAsia"/>
          <w:i w:val="0"/>
          <w:lang w:val="en-US" w:eastAsia="zh-CN"/>
        </w:rPr>
      </w:pPr>
      <m:oMath>
        <m:r>
          <m:rPr/>
          <w:rPr>
            <w:rFonts w:hint="default" w:ascii="Cambria Math" w:hAnsi="Cambria Math" w:cs="Cambria Math"/>
            <w:lang w:val="en-US" w:eastAsia="zh-CN"/>
          </w:rPr>
          <m:t>ν</m:t>
        </m:r>
      </m:oMath>
      <w:r>
        <w:rPr>
          <w:rFonts w:hint="eastAsia" w:hAnsi="Cambria Math"/>
          <w:i w:val="0"/>
          <w:lang w:val="en-US" w:eastAsia="zh-CN"/>
        </w:rPr>
        <w:t xml:space="preserve"> : </w:t>
      </w:r>
      <w:r>
        <w:rPr>
          <w:rFonts w:hint="eastAsia" w:hAnsi="Cambria Math" w:cs="Cambria Math"/>
          <w:i w:val="0"/>
          <w:lang w:val="en-US" w:eastAsia="zh-CN"/>
        </w:rPr>
        <w:t>桶到吨换算常数(</w:t>
      </w:r>
      <m:oMath>
        <m:r>
          <m:rPr/>
          <w:rPr>
            <w:rFonts w:hint="default" w:ascii="Cambria Math" w:hAnsi="Cambria Math" w:cs="Cambria Math"/>
            <w:lang w:val="en-US" w:eastAsia="zh-CN"/>
          </w:rPr>
          <m:t>ν≈7.33</m:t>
        </m:r>
      </m:oMath>
      <w:r>
        <w:rPr>
          <w:rFonts w:hint="eastAsia" w:hAnsi="Cambria Math" w:cs="Cambria Math"/>
          <w:i w:val="0"/>
          <w:lang w:val="en-US" w:eastAsia="zh-CN"/>
        </w:rPr>
        <w:t>)</w:t>
      </w:r>
    </w:p>
    <w:p w14:paraId="4C892100">
      <w:pPr>
        <w:rPr>
          <w:rFonts w:hint="default" w:hAnsi="Cambria Math"/>
          <w:i w:val="0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α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: </w:t>
      </w:r>
      <w:r>
        <w:rPr>
          <w:rFonts w:hint="default" w:hAnsi="Cambria Math"/>
          <w:i w:val="0"/>
          <w:lang w:val="en-US" w:eastAsia="zh-CN"/>
        </w:rPr>
        <w:t>国际原油成本向国内成品油价格的传导系数</w:t>
      </w:r>
    </w:p>
    <w:p w14:paraId="09603811">
      <w:pPr>
        <w:rPr>
          <w:rFonts w:hint="default" w:hAnsi="Cambria Math"/>
          <w:i w:val="0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β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: 税费、加工成本、流通费用等固定项(人民币)</w:t>
      </w:r>
    </w:p>
    <w:p w14:paraId="4C7AA696">
      <w:pPr>
        <w:rPr>
          <w:rFonts w:hint="eastAsia" w:hAnsi="Cambria Math" w:cs="Cambria Math"/>
          <w:i w:val="0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λ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 w:cs="Cambria Math"/>
          <w:i w:val="0"/>
          <w:lang w:val="en-US" w:eastAsia="zh-CN"/>
        </w:rPr>
        <w:t>为130 美元以上区间的边际传导系数(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r>
              <m:rPr/>
              <w:rPr>
                <w:rFonts w:ascii="Cambria Math" w:hAnsi="Cambria Math"/>
                <w:lang w:val="en-US"/>
              </w:rPr>
              <m:t>≤λ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Cambria Math"/>
            <w:lang w:val="en-US" w:eastAsia="zh-CN"/>
          </w:rPr>
          <m:t>≤</m:t>
        </m:r>
        <m:sSub>
          <m:sSubPr>
            <m:ctrlPr>
              <w:rPr>
                <w:rFonts w:hint="default" w:ascii="Cambria Math" w:hAnsi="Cambria Math"/>
                <w:i/>
                <w:u w:val="none"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u w:val="none"/>
                <w:lang w:val="en-US"/>
              </w:rPr>
              <m:t>α</m:t>
            </m:r>
            <m:ctrlPr>
              <w:rPr>
                <w:rFonts w:hint="default" w:ascii="Cambria Math" w:hAnsi="Cambria Math"/>
                <w:i/>
                <w:u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u w:val="none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i/>
                <w:u w:val="none"/>
                <w:lang w:val="en-US" w:eastAsia="zh-CN"/>
              </w:rPr>
            </m:ctrlPr>
          </m:sub>
        </m:sSub>
      </m:oMath>
      <w:r>
        <w:rPr>
          <w:rFonts w:hint="eastAsia" w:hAnsi="Cambria Math" w:cs="Cambria Math"/>
          <w:i w:val="0"/>
          <w:lang w:val="en-US" w:eastAsia="zh-CN"/>
        </w:rPr>
        <w:t>)</w:t>
      </w:r>
    </w:p>
    <w:p w14:paraId="0A5DB612">
      <w:pPr>
        <w:rPr>
          <w:rFonts w:hint="default" w:hAnsi="Cambria Math" w:cs="Cambria Math" w:eastAsiaTheme="minorEastAsia"/>
          <w:i w:val="0"/>
          <w:lang w:val="en-US" w:eastAsia="zh-CN"/>
        </w:rPr>
      </w:pPr>
      <m:oMath>
        <m:sSubSup>
          <m:sSubSupPr>
            <m:ctrlPr>
              <w:rPr>
                <w:rFonts w:ascii="Cambria Math" w:hAnsi="Cambria Math"/>
                <w:i/>
                <w:u w:val="none"/>
                <w:lang w:val="en-US"/>
              </w:rPr>
            </m:ctrlPr>
          </m:sSubSupPr>
          <m:e>
            <m:r>
              <m:rPr/>
              <w:rPr>
                <w:rFonts w:hint="default" w:ascii="Cambria Math" w:hAnsi="Cambria Math"/>
                <w:u w:val="none"/>
                <w:lang w:val="en-US" w:eastAsia="zh-CN"/>
              </w:rPr>
              <m:t>P</m:t>
            </m:r>
            <m:ctrlPr>
              <w:rPr>
                <w:rFonts w:ascii="Cambria Math" w:hAnsi="Cambria Math"/>
                <w:i/>
                <w:u w:val="none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u w:val="none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u w:val="none"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u w:val="none"/>
                <w:lang w:val="en-US" w:eastAsia="zh-CN"/>
              </w:rPr>
              <m:t>tℎeory</m:t>
            </m:r>
            <m:ctrlPr>
              <w:rPr>
                <w:rFonts w:ascii="Cambria Math" w:hAnsi="Cambria Math"/>
                <w:i/>
                <w:u w:val="none"/>
                <w:lang w:val="en-US"/>
              </w:rPr>
            </m:ctrlPr>
          </m:sup>
        </m:sSubSup>
      </m:oMath>
      <w:r>
        <w:rPr>
          <w:rFonts w:hint="eastAsia" w:hAnsi="Cambria Math"/>
          <w:i w:val="0"/>
          <w:u w:val="none"/>
          <w:lang w:val="en-US" w:eastAsia="zh-CN"/>
        </w:rPr>
        <w:t xml:space="preserve"> : 理论价格(人民币)</w:t>
      </w:r>
    </w:p>
    <w:p w14:paraId="011F6B04">
      <w:pPr>
        <w:rPr>
          <w:rFonts w:hint="default" w:hAnsi="Cambria Math"/>
          <w:i w:val="0"/>
          <w:u w:val="none"/>
          <w:lang w:val="en-US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u w:val="none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u w:val="none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i/>
                  <w:u w:val="none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u w:val="none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i/>
                  <w:u w:val="none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u w:val="none"/>
                  <w:lang w:val="en-US" w:eastAsia="zh-CN"/>
                </w:rPr>
                <m:t>tℎeory</m:t>
              </m:r>
              <m:ctrlPr>
                <w:rPr>
                  <w:rFonts w:ascii="Cambria Math" w:hAnsi="Cambria Math"/>
                  <w:i/>
                  <w:u w:val="none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/>
              <w:u w:val="none"/>
              <w:lang w:val="en-US" w:eastAsia="zh-CN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u w:val="none"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/>
                      <w:i/>
                      <w:u w:val="none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u w:val="none"/>
                          <w:lang w:val="en-US"/>
                        </w:rPr>
                        <m:t>α</m:t>
                      </m:r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u w:val="none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∙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u w:val="none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u w:val="none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u w:val="none"/>
                              <w:lang w:val="en-US" w:eastAsia="zh-CN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u w:val="none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u w:val="none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u w:val="none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u w:val="none"/>
                          <w:lang w:val="en-US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μ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Cambria Math"/>
                      <w:lang w:val="en-US" w:eastAsia="zh-CN"/>
                    </w:rPr>
                    <m:t>ν</m:t>
                  </m:r>
                  <m:r>
                    <m:rPr/>
                    <w:rPr>
                      <w:rFonts w:hint="default" w:ascii="Cambria Math" w:hAnsi="Cambria Math"/>
                      <w:u w:val="none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u w:val="none"/>
                          <w:lang w:val="en-US" w:eastAsia="zh-CN"/>
                        </w:rPr>
                        <m:t>β</m:t>
                      </m:r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u w:val="none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u w:val="none"/>
                      <w:lang w:val="en-US" w:eastAsia="zh-CN"/>
                    </w:rPr>
                    <m:t>+</m:t>
                  </m:r>
                  <m:r>
                    <m:rPr/>
                    <w:rPr>
                      <w:rFonts w:hint="default" w:ascii="Cambria Math" w:hAnsi="Cambria Math" w:cs="Cambria Math"/>
                      <w:u w:val="none"/>
                      <w:lang w:val="en-US" w:eastAsia="zh-CN"/>
                    </w:rPr>
                    <m:t>π(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u w:val="none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u w:val="none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u w:val="none"/>
                              <w:lang w:val="en-US" w:eastAsia="zh-CN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u w:val="none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u w:val="none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u w:val="none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u w:val="none"/>
                          <w:lang w:val="en-US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cs="Cambria Math"/>
                      <w:u w:val="none"/>
                      <w:lang w:val="en-US" w:eastAsia="zh-CN"/>
                    </w:rPr>
                    <m:t>)                           (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4"/>
                          <w:u w:val="none"/>
                          <w:shd w:val="clear" w:color="auto" w:fill="auto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4"/>
                              <w:u w:val="none"/>
                              <w:shd w:val="clear" w:color="auto" w:fill="auto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cs="Cambria Math"/>
                              <w:kern w:val="2"/>
                              <w:sz w:val="21"/>
                              <w:szCs w:val="24"/>
                              <w:u w:val="none"/>
                              <w:shd w:val="clear" w:color="auto" w:fill="auto"/>
                              <w:lang w:val="en-US" w:eastAsia="zh-CN" w:bidi="ar-SA"/>
                            </w:rPr>
                            <m:t>O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4"/>
                              <w:u w:val="none"/>
                              <w:shd w:val="clear" w:color="auto" w:fill="auto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cs="Cambria Math"/>
                              <w:kern w:val="2"/>
                              <w:sz w:val="21"/>
                              <w:szCs w:val="24"/>
                              <w:u w:val="none"/>
                              <w:shd w:val="clear" w:color="auto" w:fill="auto"/>
                              <w:lang w:val="en-US" w:eastAsia="zh-CN" w:bidi="ar-SA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4"/>
                              <w:u w:val="none"/>
                              <w:shd w:val="clear" w:color="auto" w:fill="auto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4"/>
                          <w:u w:val="none"/>
                          <w:shd w:val="clear" w:color="auto" w:fill="auto"/>
                          <w:lang w:val="en-US" w:eastAsia="zh-CN" w:bidi="ar-SA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u w:val="none"/>
                      <w:shd w:val="clear" w:color="auto" w:fill="auto"/>
                      <w:lang w:val="en-US" w:eastAsia="zh-CN" w:bidi="ar-SA"/>
                    </w:rPr>
                    <m:t>&lt;13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u w:val="none"/>
                      <w:lang w:val="en-US" w:eastAsia="zh-CN" w:bidi="ar-SA"/>
                    </w:rPr>
                    <m:t>0</m:t>
                  </m:r>
                  <m:r>
                    <m:rPr/>
                    <w:rPr>
                      <w:rFonts w:hint="default" w:ascii="Cambria Math" w:hAnsi="Cambria Math" w:cs="Cambria Math"/>
                      <w:u w:val="none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u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u w:val="none"/>
                          <w:lang w:val="en-US"/>
                        </w:rPr>
                        <m:t>α</m:t>
                      </m:r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u w:val="none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u w:val="none"/>
                      <w:lang w:val="en-US" w:eastAsia="zh-CN"/>
                    </w:rPr>
                    <m:t>(130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μ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Cambria Math"/>
                      <w:lang w:val="en-US" w:eastAsia="zh-CN"/>
                    </w:rPr>
                    <m:t>ν</m:t>
                  </m:r>
                  <m:r>
                    <m:rPr/>
                    <w:rPr>
                      <w:rFonts w:hint="default" w:ascii="Cambria Math" w:hAnsi="Cambria Math"/>
                      <w:u w:val="none"/>
                      <w:lang w:val="en-US" w:eastAsia="zh-CN"/>
                    </w:rPr>
                    <m:t>)+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u w:val="none"/>
                          <w:lang w:val="en-US" w:eastAsia="zh-CN"/>
                        </w:rPr>
                        <m:t>β</m:t>
                      </m:r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u w:val="none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u w:val="none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u w:val="none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u w:val="none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μ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Cambria Math"/>
                      <w:lang w:val="en-US" w:eastAsia="zh-CN"/>
                    </w:rPr>
                    <m:t>ν</m:t>
                  </m:r>
                  <m:r>
                    <m:rPr/>
                    <w:rPr>
                      <w:rFonts w:hint="default" w:ascii="Cambria Math" w:hAnsi="Cambria Math"/>
                      <w:u w:val="none"/>
                      <w:lang w:val="en-US" w:eastAsia="zh-CN"/>
                    </w:rPr>
                    <m:t>(</m:t>
                  </m:r>
                  <m:acc>
                    <m:accPr>
                      <m:chr m:val="̃"/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u w:val="none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u w:val="none"/>
                              <w:lang w:val="en-US" w:eastAsia="zh-CN"/>
                            </w:rPr>
                            <m:t>O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u w:val="none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u w:val="none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u w:val="none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u w:val="none"/>
                          <w:lang w:val="en-US" w:eastAsia="zh-CN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u w:val="none"/>
                      <w:lang w:val="en-US" w:eastAsia="zh-CN"/>
                    </w:rPr>
                    <m:t>−130)      (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4"/>
                          <w:u w:val="none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4"/>
                              <w:u w:val="none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cs="Cambria Math"/>
                              <w:kern w:val="2"/>
                              <w:sz w:val="21"/>
                              <w:szCs w:val="24"/>
                              <w:u w:val="none"/>
                              <w:lang w:val="en-US" w:eastAsia="zh-CN" w:bidi="ar-SA"/>
                            </w:rPr>
                            <m:t>O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4"/>
                              <w:u w:val="none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cs="Cambria Math"/>
                              <w:kern w:val="2"/>
                              <w:sz w:val="21"/>
                              <w:szCs w:val="24"/>
                              <w:u w:val="none"/>
                              <w:lang w:val="en-US" w:eastAsia="zh-CN" w:bidi="ar-SA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4"/>
                              <w:u w:val="none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kern w:val="2"/>
                          <w:sz w:val="21"/>
                          <w:szCs w:val="24"/>
                          <w:u w:val="none"/>
                          <w:lang w:val="en-US" w:bidi="ar-SA"/>
                        </w:rPr>
                        <m:t>≥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4"/>
                          <w:u w:val="none"/>
                          <w:lang w:val="en-US" w:eastAsia="zh-CN" w:bidi="ar-SA"/>
                        </w:rPr>
                        <m:t>130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4"/>
                          <w:u w:val="none"/>
                          <w:lang w:val="en-US" w:eastAsia="zh-CN" w:bidi="ar-SA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u w:val="none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u w:val="none"/>
                      <w:lang w:val="en-US" w:eastAsia="zh-CN"/>
                    </w:rPr>
                  </m:ctrlPr>
                </m:e>
              </m:eqArr>
              <m:ctrlPr>
                <w:rPr>
                  <w:rFonts w:hint="default" w:ascii="Cambria Math" w:hAnsi="Cambria Math"/>
                  <w:i/>
                  <w:u w:val="none"/>
                  <w:lang w:val="en-US" w:eastAsia="zh-CN"/>
                </w:rPr>
              </m:ctrlPr>
            </m:e>
          </m:d>
        </m:oMath>
      </m:oMathPara>
    </w:p>
    <w:p w14:paraId="0297D74B">
      <w:pPr>
        <w:rPr>
          <w:rFonts w:hint="default" w:hAnsi="Cambria Math"/>
          <w:i w:val="0"/>
          <w:u w:val="none"/>
          <w:lang w:val="en-US" w:eastAsia="zh-CN"/>
        </w:rPr>
      </w:pPr>
    </w:p>
    <w:p w14:paraId="2A03DB0D">
      <w:pPr>
        <w:rPr>
          <w:rFonts w:hint="default" w:hAnsi="Cambria Math" w:eastAsiaTheme="minorEastAsia"/>
          <w:i w:val="0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∆</m:t>
        </m:r>
        <m:sSubSup>
          <m:sSubSupPr>
            <m:ctrlPr>
              <w:rPr>
                <w:rFonts w:ascii="Cambria Math" w:hAnsi="Cambria Math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P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lang w:val="en-US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theory</m:t>
            </m:r>
            <m:ctrlPr>
              <w:rPr>
                <w:rFonts w:ascii="Cambria Math" w:hAnsi="Cambria Math"/>
                <w:lang w:val="en-US"/>
              </w:rPr>
            </m:ctrlPr>
          </m:sup>
        </m:sSubSup>
      </m:oMath>
      <w:r>
        <w:rPr>
          <w:rFonts w:hint="eastAsia" w:hAnsi="Cambria Math"/>
          <w:i w:val="0"/>
          <w:lang w:val="en-US" w:eastAsia="zh-CN"/>
        </w:rPr>
        <w:t xml:space="preserve"> : 理论调整幅度</w:t>
      </w:r>
    </w:p>
    <w:p w14:paraId="572476C1">
      <w:pPr>
        <w:rPr>
          <w:rFonts w:hAnsi="Cambria Math"/>
          <w:i w:val="0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∆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lang w:val="en-US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theory</m:t>
              </m:r>
              <m:ctrlPr>
                <w:rPr>
                  <w:rFonts w:ascii="Cambria Math" w:hAnsi="Cambria Math"/>
                  <w:lang w:val="en-US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tℎeory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/>
              <w:lang w:val="en-US" w:eastAsia="zh-CN"/>
            </w:rPr>
            <m:t>−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t−1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actual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bSup>
        </m:oMath>
      </m:oMathPara>
    </w:p>
    <w:p w14:paraId="53BB5B7C">
      <w:pPr>
        <w:rPr>
          <w:rFonts w:hAnsi="Cambria Math"/>
          <w:i w:val="0"/>
          <w:lang w:val="en-US"/>
        </w:rPr>
      </w:pPr>
    </w:p>
    <w:p w14:paraId="6F35EE3E">
      <w:pPr>
        <w:rPr>
          <w:rFonts w:hint="eastAsia" w:hAnsi="Cambria Math"/>
          <w:i w:val="0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: 累计未调整幅度</w:t>
      </w:r>
    </w:p>
    <w:p w14:paraId="1B26CBAA">
      <w:pPr>
        <w:rPr>
          <w:rFonts w:hint="eastAsia" w:hAnsi="Cambria Math"/>
          <w:i w:val="0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: 叠加了累计涨幅的幅度</w:t>
      </w:r>
    </w:p>
    <w:p w14:paraId="0023CE33">
      <w:pPr>
        <w:rPr>
          <w:rFonts w:hAnsi="Cambria Math"/>
          <w:i w:val="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∆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lang w:val="en-US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theory</m:t>
              </m:r>
              <m:ctrlPr>
                <w:rPr>
                  <w:rFonts w:ascii="Cambria Math" w:hAnsi="Cambria Math"/>
                  <w:lang w:val="en-US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t−1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</m:oMath>
      </m:oMathPara>
    </w:p>
    <w:p w14:paraId="605FB090">
      <w:pPr>
        <w:rPr>
          <w:rFonts w:hint="default" w:hAnsi="Cambria Math"/>
          <w:i w:val="0"/>
          <w:lang w:val="en-US"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∆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lang w:val="en-US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rule</m:t>
              </m:r>
              <m:ctrlPr>
                <w:rPr>
                  <w:rFonts w:ascii="Cambria Math" w:hAnsi="Cambria Math"/>
                  <w:lang w:val="en-US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 xml:space="preserve">  0       (</m:t>
                  </m:r>
                  <m:d>
                    <m:dPr>
                      <m:begChr m:val="|"/>
                      <m:endChr m:val="|"/>
                      <m:ctrlPr>
                        <w:rPr>
                          <w:rFonts w:hint="eastAsia" w:ascii="Cambria Math" w:hAnsi="Cambria Math"/>
                          <w:b w:val="0"/>
                          <w:i w:val="0"/>
                          <w:lang w:val="en-US"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/>
                          <w:b w:val="0"/>
                          <w:i w:val="0"/>
                          <w:lang w:val="en-US" w:eastAsia="zh-CN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 w:cs="Cambria Math"/>
                      <w:lang w:val="en-US"/>
                    </w:rPr>
                    <m:t>&lt;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50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 xml:space="preserve">      (</m:t>
                  </m:r>
                  <m:d>
                    <m:dPr>
                      <m:begChr m:val="|"/>
                      <m:endChr m:val="|"/>
                      <m:ctrlPr>
                        <w:rPr>
                          <w:rFonts w:hint="eastAsia" w:ascii="Cambria Math" w:hAnsi="Cambria Math"/>
                          <w:b w:val="0"/>
                          <w:i w:val="0"/>
                          <w:lang w:val="en-US"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/>
                          <w:b w:val="0"/>
                          <w:i w:val="0"/>
                          <w:lang w:val="en-US" w:eastAsia="zh-CN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lang w:val="en-US"/>
                    </w:rPr>
                    <m:t>≥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50)</m:t>
                  </m: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e>
              </m:eqArr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</m:d>
        </m:oMath>
      </m:oMathPara>
    </w:p>
    <w:p w14:paraId="331A6AFE">
      <w:pPr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 xml:space="preserve">  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 xml:space="preserve">       (</m:t>
                  </m:r>
                  <m:d>
                    <m:dPr>
                      <m:begChr m:val="|"/>
                      <m:endChr m:val="|"/>
                      <m:ctrlPr>
                        <w:rPr>
                          <w:rFonts w:hint="eastAsia" w:ascii="Cambria Math" w:hAnsi="Cambria Math"/>
                          <w:b w:val="0"/>
                          <w:i w:val="0"/>
                          <w:lang w:val="en-US"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/>
                          <w:b w:val="0"/>
                          <w:i w:val="0"/>
                          <w:lang w:val="en-US" w:eastAsia="zh-CN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 w:cs="Cambria Math"/>
                      <w:lang w:val="en-US"/>
                    </w:rPr>
                    <m:t>&lt;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50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0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 xml:space="preserve">      (</m:t>
                  </m:r>
                  <m:d>
                    <m:dPr>
                      <m:begChr m:val="|"/>
                      <m:endChr m:val="|"/>
                      <m:ctrlPr>
                        <w:rPr>
                          <w:rFonts w:hint="eastAsia" w:ascii="Cambria Math" w:hAnsi="Cambria Math"/>
                          <w:b w:val="0"/>
                          <w:i w:val="0"/>
                          <w:lang w:val="en-US"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/>
                          <w:b w:val="0"/>
                          <w:i w:val="0"/>
                          <w:lang w:val="en-US" w:eastAsia="zh-CN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lang w:val="en-US"/>
                    </w:rPr>
                    <m:t>≥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50)</m:t>
                  </m: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e>
              </m:eqArr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</m:d>
        </m:oMath>
      </m:oMathPara>
    </w:p>
    <w:p w14:paraId="4A9DDD27">
      <w:pPr>
        <w:rPr>
          <w:rFonts w:hint="default" w:hAnsi="Cambria Math"/>
          <w:i w:val="0"/>
          <w:lang w:val="en-US" w:eastAsia="zh-CN"/>
        </w:rPr>
      </w:pPr>
    </w:p>
    <w:p w14:paraId="3FDD7349">
      <w:pPr>
        <w:rPr>
          <w:rFonts w:hint="default" w:hAnsi="Cambria Math"/>
          <w:i w:val="0"/>
          <w:lang w:val="en-US" w:eastAsia="zh-CN"/>
        </w:rPr>
      </w:pPr>
    </w:p>
    <w:p w14:paraId="6DA4744B">
      <w:pPr>
        <w:rPr>
          <w:rFonts w:hint="eastAsia" w:hAnsi="Cambria Math"/>
          <w:i w:val="0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∆</m:t>
        </m:r>
        <m:sSubSup>
          <m:sSubSupPr>
            <m:ctrlPr>
              <w:rPr>
                <w:rFonts w:ascii="Cambria Math" w:hAnsi="Cambria Math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P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lang w:val="en-US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regulationl</m:t>
            </m:r>
            <m:ctrlPr>
              <w:rPr>
                <w:rFonts w:ascii="Cambria Math" w:hAnsi="Cambria Math"/>
                <w:lang w:val="en-US"/>
              </w:rPr>
            </m:ctrlPr>
          </m:sup>
        </m:sSubSup>
      </m:oMath>
      <w:r>
        <w:rPr>
          <w:rFonts w:hint="eastAsia" w:hAnsi="Cambria Math"/>
          <w:i w:val="0"/>
          <w:lang w:val="en-US" w:eastAsia="zh-CN"/>
        </w:rPr>
        <w:t xml:space="preserve"> : 特殊调控后的实际调价幅度(人民币)</w:t>
      </w:r>
    </w:p>
    <w:p w14:paraId="5C60D1F5">
      <w:pPr>
        <w:rPr>
          <w:rFonts w:hint="default" w:hAnsi="Cambria Math"/>
          <w:i w:val="0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θ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: 调控系数(非特殊调控，</w:t>
      </w:r>
      <m:oMath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θ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lang w:val="en-US" w:eastAsia="zh-CN"/>
          </w:rPr>
          <m:t>=1</m:t>
        </m:r>
      </m:oMath>
      <w:r>
        <w:rPr>
          <w:rFonts w:hint="eastAsia" w:hAnsi="Cambria Math"/>
          <w:i w:val="0"/>
          <w:lang w:val="en-US" w:eastAsia="zh-CN"/>
        </w:rPr>
        <w:t>)</w:t>
      </w:r>
    </w:p>
    <w:p w14:paraId="3C4548BE">
      <w:pPr>
        <w:rPr>
          <w:rFonts w:hAnsi="Cambria Math"/>
          <w:i w:val="0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∆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lang w:val="en-US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regulationl</m:t>
              </m:r>
              <m:ctrlPr>
                <w:rPr>
                  <w:rFonts w:ascii="Cambria Math" w:hAnsi="Cambria Math"/>
                  <w:lang w:val="en-US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lang w:val="en-US" w:eastAsia="zh-CN"/>
                </w:rPr>
                <m:t>θ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Cambria Math"/>
              <w:lang w:val="en-US" w:eastAsia="zh-CN"/>
            </w:rPr>
            <m:t>∙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∆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lang w:val="en-US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rule</m:t>
              </m:r>
              <m:ctrlPr>
                <w:rPr>
                  <w:rFonts w:ascii="Cambria Math" w:hAnsi="Cambria Math"/>
                  <w:lang w:val="en-US"/>
                </w:rPr>
              </m:ctrlPr>
            </m:sup>
          </m:sSubSup>
        </m:oMath>
      </m:oMathPara>
    </w:p>
    <w:p w14:paraId="41910B22">
      <w:pPr>
        <w:rPr>
          <w:rFonts w:hint="default" w:hAnsi="Cambria Math"/>
          <w:i w:val="0"/>
          <w:lang w:val="en-US" w:eastAsia="zh-CN"/>
        </w:rPr>
      </w:pPr>
      <m:oMath>
        <m:sSubSup>
          <m:sSubSupPr>
            <m:ctrlPr>
              <w:rPr>
                <w:rFonts w:hint="eastAsia" w:ascii="Cambria Math" w:hAnsi="Cambria Math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P</m:t>
            </m:r>
            <m:ctrlPr>
              <w:rPr>
                <w:rFonts w:hint="eastAsia" w:ascii="Cambria Math" w:hAnsi="Cambria Math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t</m:t>
            </m:r>
            <m:ctrlPr>
              <w:rPr>
                <w:rFonts w:hint="eastAsia" w:ascii="Cambria Math" w:hAnsi="Cambria Math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predict</m:t>
            </m:r>
            <m:ctrlPr>
              <w:rPr>
                <w:rFonts w:hint="eastAsia" w:ascii="Cambria Math" w:hAnsi="Cambria Math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p>
        </m:sSubSup>
      </m:oMath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: 模型给出的最终价格</w:t>
      </w:r>
    </w:p>
    <w:p w14:paraId="0226F8C3">
      <w:pPr>
        <w:rPr>
          <w:rFonts w:hint="eastAsia" w:hAnsi="Cambria Math"/>
          <w:i w:val="0"/>
          <w:lang w:val="en-US" w:eastAsia="zh-CN"/>
        </w:rPr>
      </w:pPr>
    </w:p>
    <w:p w14:paraId="661A720F">
      <w:pPr>
        <w:rPr>
          <w:rFonts w:hAnsi="Cambria Math"/>
          <w:i w:val="0"/>
          <w:lang w:val="en-US"/>
        </w:rPr>
      </w:pPr>
      <m:oMathPara>
        <m:oMath>
          <m:sSubSup>
            <m:sSubSupPr>
              <m:ctrlPr>
                <w:rPr>
                  <w:rFonts w:hint="eastAsia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P</m:t>
              </m:r>
              <m:ctrlPr>
                <w:rPr>
                  <w:rFonts w:hint="eastAsia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t</m:t>
              </m:r>
              <m:ctrlPr>
                <w:rPr>
                  <w:rFonts w:hint="eastAsia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predict</m:t>
              </m:r>
              <m:ctrlPr>
                <w:rPr>
                  <w:rFonts w:hint="eastAsia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</m:t>
          </m:r>
          <m:sSubSup>
            <m:sSubSupPr>
              <m:ctrlPr>
                <w:rPr>
                  <w:rFonts w:hint="eastAsia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P</m:t>
              </m:r>
              <m:ctrlPr>
                <w:rPr>
                  <w:rFonts w:hint="eastAsia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t−1</m:t>
              </m:r>
              <m:ctrlPr>
                <w:rPr>
                  <w:rFonts w:hint="eastAsia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actual</m:t>
              </m:r>
              <m:ctrlPr>
                <w:rPr>
                  <w:rFonts w:hint="eastAsia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∆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lang w:val="en-US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regulationl</m:t>
              </m:r>
              <m:ctrlPr>
                <w:rPr>
                  <w:rFonts w:ascii="Cambria Math" w:hAnsi="Cambria Math"/>
                  <w:lang w:val="en-US"/>
                </w:rPr>
              </m:ctrlPr>
            </m:sup>
          </m:sSubSup>
        </m:oMath>
      </m:oMathPara>
    </w:p>
    <w:p w14:paraId="7EFA94F5">
      <w:pPr>
        <w:rPr>
          <w:rFonts w:hAnsi="Cambria Math"/>
          <w:i w:val="0"/>
          <w:lang w:val="en-US"/>
        </w:rPr>
      </w:pPr>
    </w:p>
    <w:p w14:paraId="3D528493">
      <w:pPr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效果不好，我们采用差分版本：</w:t>
      </w:r>
    </w:p>
    <w:p w14:paraId="66681B85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差分版本的核心思想是：不直接预测成品油的绝对价格水平，而是预测“本轮应该调整多少”。它把国内成品油调价看成对国际原油成本变化的响应。</w:t>
      </w:r>
    </w:p>
    <w:p w14:paraId="26491256">
      <w:pPr>
        <w:rPr>
          <w:rFonts w:hint="default" w:hAnsi="Cambria Math"/>
          <w:i w:val="0"/>
          <w:lang w:val="en-US" w:eastAsia="zh-CN"/>
        </w:rPr>
      </w:pPr>
    </w:p>
    <w:p w14:paraId="70EAD2A9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模型先构造综合国际油价：</w:t>
      </w:r>
    </w:p>
    <w:p w14:paraId="328A93C6">
      <w:pPr>
        <w:rPr>
          <w:rFonts w:hint="default" w:hAnsi="Cambria Math"/>
          <w:i w:val="0"/>
          <w:lang w:val="en-US" w:eastAsia="zh-CN"/>
        </w:rPr>
      </w:pPr>
    </w:p>
    <w:p w14:paraId="0699DF03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```text</w:t>
      </w:r>
    </w:p>
    <w:p w14:paraId="12F43F67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O_t = w1 * WTI_t + w2 * Brent_t + w3 * Basket_t</w:t>
      </w:r>
    </w:p>
    <w:p w14:paraId="3FF141C9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</w:t>
      </w:r>
    </w:p>
    <w:p w14:paraId="50A06A45">
      <w:pPr>
        <w:rPr>
          <w:rFonts w:hint="default" w:hAnsi="Cambria Math"/>
          <w:i w:val="0"/>
          <w:lang w:val="en-US" w:eastAsia="zh-CN"/>
        </w:rPr>
      </w:pPr>
    </w:p>
    <w:p w14:paraId="6B2CDAFB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再换算为人民币/吨口径的国际原油成本：</w:t>
      </w:r>
    </w:p>
    <w:p w14:paraId="120F314B">
      <w:pPr>
        <w:rPr>
          <w:rFonts w:hint="default" w:hAnsi="Cambria Math"/>
          <w:i w:val="0"/>
          <w:lang w:val="en-US" w:eastAsia="zh-CN"/>
        </w:rPr>
      </w:pPr>
    </w:p>
    <w:p w14:paraId="4406C868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```text</w:t>
      </w:r>
    </w:p>
    <w:p w14:paraId="0B2F800A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X_t = exchange_rate_t * ν * O_t</w:t>
      </w:r>
    </w:p>
    <w:p w14:paraId="0AF9129E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</w:t>
      </w:r>
    </w:p>
    <w:p w14:paraId="73A37777">
      <w:pPr>
        <w:rPr>
          <w:rFonts w:hint="default" w:hAnsi="Cambria Math"/>
          <w:i w:val="0"/>
          <w:lang w:val="en-US" w:eastAsia="zh-CN"/>
        </w:rPr>
      </w:pPr>
    </w:p>
    <w:p w14:paraId="58684AC2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其中 `ν = 7.33`，表示桶到吨的换算系数。</w:t>
      </w:r>
    </w:p>
    <w:p w14:paraId="07EEE420">
      <w:pPr>
        <w:rPr>
          <w:rFonts w:hint="default" w:hAnsi="Cambria Math"/>
          <w:i w:val="0"/>
          <w:lang w:val="en-US" w:eastAsia="zh-CN"/>
        </w:rPr>
      </w:pPr>
    </w:p>
    <w:p w14:paraId="4A41AE93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为了保留政策中的利润分段机制，模型还计算利润形状函数：</w:t>
      </w:r>
    </w:p>
    <w:p w14:paraId="69B385B7">
      <w:pPr>
        <w:rPr>
          <w:rFonts w:hint="default" w:hAnsi="Cambria Math"/>
          <w:i w:val="0"/>
          <w:lang w:val="en-US" w:eastAsia="zh-CN"/>
        </w:rPr>
      </w:pPr>
    </w:p>
    <w:p w14:paraId="0807009B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```text</w:t>
      </w:r>
    </w:p>
    <w:p w14:paraId="04059BE0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h(O_t) = 1                         O_t &lt;= 80</w:t>
      </w:r>
    </w:p>
    <w:p w14:paraId="75D94B24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 xml:space="preserve">       = (130 - O_t) / 50          80 &lt; O_t &lt;= 130</w:t>
      </w:r>
    </w:p>
    <w:p w14:paraId="59D76C67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 xml:space="preserve">       = 0                         O_t &gt; 130</w:t>
      </w:r>
    </w:p>
    <w:p w14:paraId="3642E29E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</w:t>
      </w:r>
    </w:p>
    <w:p w14:paraId="565D98C1">
      <w:pPr>
        <w:rPr>
          <w:rFonts w:hint="default" w:hAnsi="Cambria Math"/>
          <w:i w:val="0"/>
          <w:lang w:val="en-US" w:eastAsia="zh-CN"/>
        </w:rPr>
      </w:pPr>
    </w:p>
    <w:p w14:paraId="2719A8EC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差分模型不拟合价格水平 `P_t`，而是拟合相邻调价窗口之间的变化：</w:t>
      </w:r>
    </w:p>
    <w:p w14:paraId="18BA79B1">
      <w:pPr>
        <w:rPr>
          <w:rFonts w:hint="default" w:hAnsi="Cambria Math"/>
          <w:i w:val="0"/>
          <w:lang w:val="en-US" w:eastAsia="zh-CN"/>
        </w:rPr>
      </w:pPr>
    </w:p>
    <w:p w14:paraId="31BABF2B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```text</w:t>
      </w:r>
    </w:p>
    <w:p w14:paraId="5662D39A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ΔX_t = X_t - X_{t-1}</w:t>
      </w:r>
    </w:p>
    <w:p w14:paraId="6D037259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Δh_t = h(O_t) - h(O_{t-1})</w:t>
      </w:r>
    </w:p>
    <w:p w14:paraId="2C7393A9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</w:t>
      </w:r>
    </w:p>
    <w:p w14:paraId="3F9EDB4E">
      <w:pPr>
        <w:rPr>
          <w:rFonts w:hint="default" w:hAnsi="Cambria Math"/>
          <w:i w:val="0"/>
          <w:lang w:val="en-US" w:eastAsia="zh-CN"/>
        </w:rPr>
      </w:pPr>
    </w:p>
    <w:p w14:paraId="3175002A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然后预测本轮理论调价幅度：</w:t>
      </w:r>
    </w:p>
    <w:p w14:paraId="6EBEABBE">
      <w:pPr>
        <w:rPr>
          <w:rFonts w:hint="default" w:hAnsi="Cambria Math"/>
          <w:i w:val="0"/>
          <w:lang w:val="en-US" w:eastAsia="zh-CN"/>
        </w:rPr>
      </w:pPr>
    </w:p>
    <w:p w14:paraId="5E66BDE6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```text</w:t>
      </w:r>
    </w:p>
    <w:p w14:paraId="24DAEEF1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raw_delta_t = α * ΔX_t + π0 * Δh_t + c</w:t>
      </w:r>
    </w:p>
    <w:p w14:paraId="157D37AF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</w:t>
      </w:r>
    </w:p>
    <w:p w14:paraId="0644EA20">
      <w:pPr>
        <w:rPr>
          <w:rFonts w:hint="default" w:hAnsi="Cambria Math"/>
          <w:i w:val="0"/>
          <w:lang w:val="en-US" w:eastAsia="zh-CN"/>
        </w:rPr>
      </w:pPr>
    </w:p>
    <w:p w14:paraId="7FFE91F6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其中：</w:t>
      </w:r>
    </w:p>
    <w:p w14:paraId="6D114783">
      <w:pPr>
        <w:rPr>
          <w:rFonts w:hint="default" w:hAnsi="Cambria Math"/>
          <w:i w:val="0"/>
          <w:lang w:val="en-US" w:eastAsia="zh-CN"/>
        </w:rPr>
      </w:pPr>
    </w:p>
    <w:p w14:paraId="3DE049C4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- `α` 表示国际原油成本变化向国内调价幅度的传导强度</w:t>
      </w:r>
    </w:p>
    <w:p w14:paraId="291C80D2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- `π0` 表示利润分段项变化带来的调价影响</w:t>
      </w:r>
    </w:p>
    <w:p w14:paraId="0E0E52B6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- `c` 是截距，用来吸收数据口径误差、税费细节、固定项变化等未显式建模因素</w:t>
      </w:r>
    </w:p>
    <w:p w14:paraId="232D5468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- `w1,w2,w3` 是三种国际油价的权重</w:t>
      </w:r>
    </w:p>
    <w:p w14:paraId="69ED0D55">
      <w:pPr>
        <w:rPr>
          <w:rFonts w:hint="default" w:hAnsi="Cambria Math"/>
          <w:i w:val="0"/>
          <w:lang w:val="en-US" w:eastAsia="zh-CN"/>
        </w:rPr>
      </w:pPr>
    </w:p>
    <w:p w14:paraId="2285F888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之后再加入政策中的“50 元/吨门槛”和累计未调价机制：</w:t>
      </w:r>
    </w:p>
    <w:p w14:paraId="71D8CBD8">
      <w:pPr>
        <w:rPr>
          <w:rFonts w:hint="default" w:hAnsi="Cambria Math"/>
          <w:i w:val="0"/>
          <w:lang w:val="en-US" w:eastAsia="zh-CN"/>
        </w:rPr>
      </w:pPr>
    </w:p>
    <w:p w14:paraId="0CB519BD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```text</w:t>
      </w:r>
    </w:p>
    <w:p w14:paraId="4AB65529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rule_delta_t = raw_delta_t + carry_{t-1}</w:t>
      </w:r>
    </w:p>
    <w:p w14:paraId="7C843CD0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</w:t>
      </w:r>
    </w:p>
    <w:p w14:paraId="68249395">
      <w:pPr>
        <w:rPr>
          <w:rFonts w:hint="default" w:hAnsi="Cambria Math"/>
          <w:i w:val="0"/>
          <w:lang w:val="en-US" w:eastAsia="zh-CN"/>
        </w:rPr>
      </w:pPr>
    </w:p>
    <w:p w14:paraId="16AB2463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如果：</w:t>
      </w:r>
    </w:p>
    <w:p w14:paraId="4396687E">
      <w:pPr>
        <w:rPr>
          <w:rFonts w:hint="default" w:hAnsi="Cambria Math"/>
          <w:i w:val="0"/>
          <w:lang w:val="en-US" w:eastAsia="zh-CN"/>
        </w:rPr>
      </w:pPr>
    </w:p>
    <w:p w14:paraId="4673C079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```text</w:t>
      </w:r>
    </w:p>
    <w:p w14:paraId="6DF77DAA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|rule_delta_t| &gt;= 50</w:t>
      </w:r>
    </w:p>
    <w:p w14:paraId="4AE93C81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</w:t>
      </w:r>
    </w:p>
    <w:p w14:paraId="79C185A3">
      <w:pPr>
        <w:rPr>
          <w:rFonts w:hint="default" w:hAnsi="Cambria Math"/>
          <w:i w:val="0"/>
          <w:lang w:val="en-US" w:eastAsia="zh-CN"/>
        </w:rPr>
      </w:pPr>
    </w:p>
    <w:p w14:paraId="7C5F977D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则本期调价：</w:t>
      </w:r>
    </w:p>
    <w:p w14:paraId="090FE64A">
      <w:pPr>
        <w:rPr>
          <w:rFonts w:hint="default" w:hAnsi="Cambria Math"/>
          <w:i w:val="0"/>
          <w:lang w:val="en-US" w:eastAsia="zh-CN"/>
        </w:rPr>
      </w:pPr>
    </w:p>
    <w:p w14:paraId="1965B79E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```text</w:t>
      </w:r>
    </w:p>
    <w:p w14:paraId="46070B07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pred_delta_t = rule_delta_t</w:t>
      </w:r>
    </w:p>
    <w:p w14:paraId="79A8529D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carry_t = 0</w:t>
      </w:r>
    </w:p>
    <w:p w14:paraId="7F68C282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</w:t>
      </w:r>
    </w:p>
    <w:p w14:paraId="1AF379B8">
      <w:pPr>
        <w:rPr>
          <w:rFonts w:hint="default" w:hAnsi="Cambria Math"/>
          <w:i w:val="0"/>
          <w:lang w:val="en-US" w:eastAsia="zh-CN"/>
        </w:rPr>
      </w:pPr>
    </w:p>
    <w:p w14:paraId="60CE3931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如果：</w:t>
      </w:r>
    </w:p>
    <w:p w14:paraId="737F6241">
      <w:pPr>
        <w:rPr>
          <w:rFonts w:hint="default" w:hAnsi="Cambria Math"/>
          <w:i w:val="0"/>
          <w:lang w:val="en-US" w:eastAsia="zh-CN"/>
        </w:rPr>
      </w:pPr>
    </w:p>
    <w:p w14:paraId="731865AA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```text</w:t>
      </w:r>
    </w:p>
    <w:p w14:paraId="5115AAD0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|rule_delta_t| &lt; 50</w:t>
      </w:r>
    </w:p>
    <w:p w14:paraId="5C0490E2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</w:t>
      </w:r>
    </w:p>
    <w:p w14:paraId="072D12E0">
      <w:pPr>
        <w:rPr>
          <w:rFonts w:hint="default" w:hAnsi="Cambria Math"/>
          <w:i w:val="0"/>
          <w:lang w:val="en-US" w:eastAsia="zh-CN"/>
        </w:rPr>
      </w:pPr>
    </w:p>
    <w:p w14:paraId="5190FFBC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则本期不调价：</w:t>
      </w:r>
    </w:p>
    <w:p w14:paraId="696BC54E">
      <w:pPr>
        <w:rPr>
          <w:rFonts w:hint="default" w:hAnsi="Cambria Math"/>
          <w:i w:val="0"/>
          <w:lang w:val="en-US" w:eastAsia="zh-CN"/>
        </w:rPr>
      </w:pPr>
    </w:p>
    <w:p w14:paraId="06764966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```text</w:t>
      </w:r>
    </w:p>
    <w:p w14:paraId="3B6685E1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pred_delta_t = 0</w:t>
      </w:r>
    </w:p>
    <w:p w14:paraId="42D736B1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carry_t = rule_delta_t</w:t>
      </w:r>
    </w:p>
    <w:p w14:paraId="5656B339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</w:t>
      </w:r>
    </w:p>
    <w:p w14:paraId="23AADDBE">
      <w:pPr>
        <w:rPr>
          <w:rFonts w:hint="default" w:hAnsi="Cambria Math"/>
          <w:i w:val="0"/>
          <w:lang w:val="en-US" w:eastAsia="zh-CN"/>
        </w:rPr>
      </w:pPr>
    </w:p>
    <w:p w14:paraId="2C4BA7AF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最终输出的预测调价幅度为：</w:t>
      </w:r>
    </w:p>
    <w:p w14:paraId="1C5DCFE8">
      <w:pPr>
        <w:rPr>
          <w:rFonts w:hint="default" w:hAnsi="Cambria Math"/>
          <w:i w:val="0"/>
          <w:lang w:val="en-US" w:eastAsia="zh-CN"/>
        </w:rPr>
      </w:pPr>
    </w:p>
    <w:p w14:paraId="09B2E02B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```text</w:t>
      </w:r>
    </w:p>
    <w:p w14:paraId="494AD28A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pred_delta_t</w:t>
      </w:r>
    </w:p>
    <w:p w14:paraId="43AF7384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```</w:t>
      </w:r>
    </w:p>
    <w:p w14:paraId="4C015C8B">
      <w:pPr>
        <w:rPr>
          <w:rFonts w:hint="default" w:hAnsi="Cambria Math"/>
          <w:i w:val="0"/>
          <w:lang w:val="en-US" w:eastAsia="zh-CN"/>
        </w:rPr>
      </w:pPr>
    </w:p>
    <w:p w14:paraId="30A1CC41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它的优点是直接对应实际调价幅度，避免了绝对价格水平模型中 `beta`、税费、固定成本、历史基准价等难以稳定识别的问题。简单说，差分模型关心的是“国际油价相比上一轮变了多少，所以国内这轮该调多少”，这和实际成品油调价机制更贴近，因此预测效果通常更好。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D4642"/>
    <w:rsid w:val="14DF5360"/>
    <w:rsid w:val="154020D1"/>
    <w:rsid w:val="39E448D4"/>
    <w:rsid w:val="3E3D4198"/>
    <w:rsid w:val="3FF64C5E"/>
    <w:rsid w:val="47332F94"/>
    <w:rsid w:val="50D11A99"/>
    <w:rsid w:val="5D1A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437</Words>
  <Characters>676</Characters>
  <Lines>0</Lines>
  <Paragraphs>0</Paragraphs>
  <TotalTime>54</TotalTime>
  <ScaleCrop>false</ScaleCrop>
  <LinksUpToDate>false</LinksUpToDate>
  <CharactersWithSpaces>809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2026-05-12T11:48:00Z</dcterms:created>
  <dc:creator>ZRY</dc:creator>
  <cp:lastModifiedBy>周瑞阳</cp:lastModifiedBy>
  <dcterms:modified xsi:type="dcterms:W3CDTF">2026-05-14T07:34:45Z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eyJoZGlkIjoiNTJlZjAyN2Y4YzI3OGYxZGY2OWEwYjdkY2Y0MjNhNmQiLCJ1c2VySWQiOiIxNjg2OTk1MTQ5In0=</vt:lpwstr>
  </property>
  <property fmtid="{D5CDD505-2E9C-101B-9397-08002B2CF9AE}" pid="4" name="ICV">
    <vt:lpwstr>DF1F94A62EEC4A769820E0B5F634422F_12</vt:lpwstr>
  </property>
</Properties>
</file>