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sz w:val="50"/>
          <w:szCs w:val="50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Inloggen en Beveiliging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Gebruikers kunnen inloggen met een </w:t>
      </w:r>
      <w:r w:rsidDel="00000000" w:rsidR="00000000" w:rsidRPr="00000000">
        <w:rPr>
          <w:i w:val="1"/>
          <w:rtl w:val="0"/>
        </w:rPr>
        <w:t xml:space="preserve">gebruikersnaam </w:t>
      </w:r>
      <w:r w:rsidDel="00000000" w:rsidR="00000000" w:rsidRPr="00000000">
        <w:rPr>
          <w:rtl w:val="0"/>
        </w:rPr>
        <w:t xml:space="preserve">en een </w:t>
      </w:r>
      <w:r w:rsidDel="00000000" w:rsidR="00000000" w:rsidRPr="00000000">
        <w:rPr>
          <w:i w:val="1"/>
          <w:rtl w:val="0"/>
        </w:rPr>
        <w:t xml:space="preserve">wachtwoord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Wachtwoord kan worden gereset.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Beveiliging voldoet aan de laatste security- en privacy richtlijnen.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Ministerie van Binnenlandse Zaken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Medewerkers van het ministerie kunnen politieke partijen goedkeuren.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 ministerie kan verkiezingen aanmaken en landelijk/regio inplannen met vaste stem datums.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resultaten van landelijke verkiezingen kunnen handmatig worden gepubliceerd.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Gemeente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Gemeentemedewerkers kunnen regionale verkiezingsuitslagen handmatig publiceren.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Gemeente krijgen meldingen voor uitnodigingsproces bij regionale verkiezingen.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Stemgerechtigden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Stemgerechtigden kunnen inloggen en een overzicht zien van actieve verkiezingen.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Stemgerechtigden kunnen stemmen uitbrengen voor actieve verkiezingen.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verkiezing kan slechts één stem worden uitgebracht.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Verkiesbaren / Partijen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Politieke partijen kunnen aanmelden en geregistreerd worden.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Partij Beheerder kan verkiesbaren accepteren/verwijderen en de volgorde van de stemlijst bepalen.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Resultaten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Resultaten </w:t>
      </w:r>
      <w:r w:rsidDel="00000000" w:rsidR="00000000" w:rsidRPr="00000000">
        <w:rPr>
          <w:rtl w:val="0"/>
        </w:rPr>
        <w:t xml:space="preserve">van verkiezingen kunnen door het ministerie (landelijk) of de gemeente (regionaal) gepubliceerd worden.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Stemresultaten worden handmatig gepubliceerd.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Technische Eisen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Alle pagina's zijn consequent vormgegeven.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applicatie is toegankelijk voor mensen met beperkingen (bijvoorbeeld slechtzienden/doven).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applicatie heeft genoeg testdata.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Toekomstige ondersteuning voor DigID inlogfunctionaliteit.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Rapportage en Statistieken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Gemeenten kunnen zien welk percentage stemgerechtigden gestemd heeft.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Randvoorwaarde: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 applicatie is klaar voor live testen en voldoet aan alle eisen.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