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ST/*ST上市公司全维度分析报告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6464"/>
          <w:sz w:val="28"/>
        </w:rPr>
        <w:t>ST摸鱼风云-V5个股分析报告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8C8C8C"/>
          <w:sz w:val="19"/>
        </w:rPr>
        <w:t>评分体系：ST保壳评分系统V2（十三维，score_v2单源，与保壳风云榜同刻度）</w:t>
      </w:r>
    </w:p>
    <w:p>
      <w:pPr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ST冀凯（002691）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6464"/>
          <w:sz w:val="24"/>
        </w:rPr>
        <w:t>冀凯装备制造股份有限公司</w:t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p>
      <w:pPr>
        <w:spacing w:after="0"/>
      </w:pPr>
      <w:r>
        <w:rPr>
          <w:sz w:val="28"/>
        </w:rPr>
      </w:r>
    </w:p>
    <w:tbl>
      <w:tblPr>
        <w:tblStyle w:val="TableGrid"/>
        <w:jc w:val="center"/>
        <w:tblLook w:firstColumn="1" w:firstRow="1" w:lastColumn="0" w:lastRow="0" w:noHBand="0" w:noVBand="1" w:val="04A0"/>
        <w:tblW w:w="9072" w:type="dxa"/>
        <w:tblLayout w:type="fixed"/>
      </w:tblPr>
      <w:tblGrid>
        <w:gridCol w:w="2835"/>
        <w:gridCol w:w="6237"/>
      </w:tblGrid>
      <w:tr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综合评级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B档（60 / 100 分 · ST保壳评分系统V2十三维）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分析日期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2026年9月2日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分析机构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小调AI-WorkBuddy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数据来源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westock行情/财务/股东 / st-factor-fetch公共因子库 / 巨潮资讯网 / 公司公告</w:t>
            </w:r>
          </w:p>
        </w:tc>
      </w:tr>
    </w:tbl>
    <w:p>
      <w:r>
        <w:br w:type="page"/>
      </w:r>
    </w:p>
    <w:p>
      <w:pPr>
        <w:spacing w:after="0"/>
      </w:pPr>
      <w:r>
        <w:rPr>
          <w:sz w:val="28"/>
        </w:rPr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ST冀凯（002691）投资要点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20"/>
        </w:rPr>
        <w:t>冀凯装备制造股份有限公司  |  深圳主板  |  *ST（财务类）  |  2026年4月30日戴帽</w:t>
      </w:r>
    </w:p>
    <w:tbl>
      <w:tblPr>
        <w:tblStyle w:val="TableGrid"/>
        <w:jc w:val="center"/>
        <w:tblLook w:firstColumn="1" w:firstRow="1" w:lastColumn="0" w:lastRow="0" w:noHBand="0" w:noVBand="1" w:val="04A0"/>
        <w:tblW w:w="9072" w:type="dxa"/>
        <w:tblLayout w:type="fixed"/>
      </w:tblPr>
      <w:tblGrid>
        <w:gridCol w:w="2268"/>
        <w:gridCol w:w="6804"/>
      </w:tblGrid>
      <w:tr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总资产 / 总负债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11.89亿元 / 约3.91亿元（资产负债率32.85%，2026H1）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归母净资产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7.84亿元（2026H1，每股约2.31元）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营业收入 / 归母净利润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2026H1：1.012亿元 / -5,652万元（营收同比-14.13%，亏损同比扩大87.5%）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短期借款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2.37亿元（2026H1，较2024年末0.5亿元激增约374%）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当前市值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15.64亿元（2026-08-28收盘价4.60元；PB 1.99；52周区间3.15-11.32元）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实控人 / 二股东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冯春保 / 34.33%；深圳卓众达富 / 29.00%（合计63.33%，前十大合计70.8%）</w:t>
            </w:r>
          </w:p>
        </w:tc>
      </w:tr>
    </w:tbl>
    <w:p>
      <w:pPr>
        <w:spacing w:before="280" w:after="200"/>
      </w:pPr>
      <w:r>
        <w:rPr>
          <w:rFonts w:ascii="微软雅黑" w:hAnsi="微软雅黑" w:eastAsia="微软雅黑"/>
          <w:b/>
          <w:color w:val="2E75B6"/>
          <w:sz w:val="24"/>
        </w:rPr>
        <w:t>综合评级：B档（60 / 100 分 · V2十三维）——保壳评分中等，但退市风险极高，详见第八章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核心风险</w:t>
      </w:r>
    </w:p>
    <w:p>
      <w:pPr>
        <w:spacing w:before="0" w:after="40"/>
      </w:pPr>
      <w:r>
        <w:rPr>
          <w:rFonts w:ascii="微软雅黑" w:hAnsi="微软雅黑" w:eastAsia="微软雅黑"/>
          <w:b/>
          <w:sz w:val="20"/>
        </w:rPr>
        <w:t xml:space="preserve">  1.  财务类退市倒计时：</w:t>
      </w:r>
      <w:r>
        <w:rPr>
          <w:rFonts w:ascii="微软雅黑" w:hAnsi="微软雅黑" w:eastAsia="微软雅黑"/>
          <w:sz w:val="20"/>
        </w:rPr>
        <w:t>2025年扣除后营收28,869.98万&lt;3亿触发9.3.1条，2026年报达标概率&lt;5%，2027年4月终止上市概率80-85%</w:t>
      </w:r>
    </w:p>
    <w:p>
      <w:pPr>
        <w:spacing w:before="0" w:after="40"/>
      </w:pPr>
      <w:r>
        <w:rPr>
          <w:rFonts w:ascii="微软雅黑" w:hAnsi="微软雅黑" w:eastAsia="微软雅黑"/>
          <w:b/>
          <w:sz w:val="20"/>
        </w:rPr>
        <w:t xml:space="preserve">  2.  立案调查未决：</w:t>
      </w:r>
      <w:r>
        <w:rPr>
          <w:rFonts w:ascii="微软雅黑" w:hAnsi="微软雅黑" w:eastAsia="微软雅黑"/>
          <w:sz w:val="20"/>
        </w:rPr>
        <w:t>2026-04-30证监会立案（涉嫌信披违规），若构成重大违法将切换为不可逆退市路径</w:t>
      </w:r>
    </w:p>
    <w:p>
      <w:pPr>
        <w:spacing w:before="0" w:after="40"/>
      </w:pPr>
      <w:r>
        <w:rPr>
          <w:rFonts w:ascii="微软雅黑" w:hAnsi="微软雅黑" w:eastAsia="微软雅黑"/>
          <w:b/>
          <w:sz w:val="20"/>
        </w:rPr>
        <w:t xml:space="preserve">  3.  公开谴责：</w:t>
      </w:r>
      <w:r>
        <w:rPr>
          <w:rFonts w:ascii="微软雅黑" w:hAnsi="微软雅黑" w:eastAsia="微软雅黑"/>
          <w:sz w:val="20"/>
        </w:rPr>
        <w:t>2026-06-24深交所公开谴责（深证上〔2026〕861号），公司+冯帆+孙波+乔贵彩被谴责</w:t>
      </w:r>
    </w:p>
    <w:p>
      <w:pPr>
        <w:spacing w:before="0" w:after="40"/>
      </w:pPr>
      <w:r>
        <w:rPr>
          <w:rFonts w:ascii="微软雅黑" w:hAnsi="微软雅黑" w:eastAsia="微软雅黑"/>
          <w:b/>
          <w:sz w:val="20"/>
        </w:rPr>
        <w:t xml:space="preserve">  4.  主业持续失血：</w:t>
      </w:r>
      <w:r>
        <w:rPr>
          <w:rFonts w:ascii="微软雅黑" w:hAnsi="微软雅黑" w:eastAsia="微软雅黑"/>
          <w:sz w:val="20"/>
        </w:rPr>
        <w:t>2026H1营收1.012亿元（同比-14.13%）、归母净利-5,652万元（亏损扩大87.5%）、毛利率9.55%、经营现金流-6,814万元</w:t>
      </w:r>
    </w:p>
    <w:p>
      <w:pPr>
        <w:spacing w:before="0" w:after="40"/>
      </w:pPr>
      <w:r>
        <w:rPr>
          <w:rFonts w:ascii="微软雅黑" w:hAnsi="微软雅黑" w:eastAsia="微软雅黑"/>
          <w:b/>
          <w:sz w:val="20"/>
        </w:rPr>
        <w:t xml:space="preserve">  5.  高杠杆续命：</w:t>
      </w:r>
      <w:r>
        <w:rPr>
          <w:rFonts w:ascii="微软雅黑" w:hAnsi="微软雅黑" w:eastAsia="微软雅黑"/>
          <w:sz w:val="20"/>
        </w:rPr>
        <w:t>短贷2.37亿较2024年末0.5亿激增374%，资产负债率升至32.85%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2"/>
        </w:rPr>
        <w:t>分析结论</w:t>
      </w:r>
    </w:p>
    <w:p>
      <w:pPr>
        <w:spacing w:before="0" w:after="80"/>
      </w:pPr>
      <w:r>
        <w:rPr>
          <w:rFonts w:ascii="微软雅黑" w:hAnsi="微软雅黑" w:eastAsia="微软雅黑"/>
          <w:sz w:val="20"/>
        </w:rPr>
        <w:t>*ST冀凯保壳评分60分（B档，V2十三维），但评分未覆盖的退市概率维度极端恶化：2026年报达标概率不足5%、2027年4月触发终止上市概率80-85%，叠加立案调查结果未明、公开谴责、投资者索赔三重合规风险，公司处于「退市倒计时+合规双杀」状态。壳价安全垫（市值15.44亿=壳费基准33.81亿的4.6折，V2-C2壳价值满分8分）仅对重组博弈具有理论意义，对场外资金而言风险收益比极差。投资核心假设是2026年内能否出现实质性保壳动作（资产注入/并购）——在立案调查未结案的背景下，任何方案推进都面临监管不确定性。不建议普通投资者参与，专业投资者亦应视为极高风险事件驱动标的。</w:t>
      </w:r>
    </w:p>
    <w:p>
      <w:pPr>
        <w:spacing w:before="280"/>
        <w:jc w:val="right"/>
      </w:pPr>
      <w:r>
        <w:rPr>
          <w:rFonts w:ascii="微软雅黑" w:hAnsi="微软雅黑" w:eastAsia="微软雅黑"/>
          <w:color w:val="666666"/>
          <w:sz w:val="19"/>
        </w:rPr>
        <w:t>分析机构：小调AI-WorkBuddy  |  分析日期：2026年9月2日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目  录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第一章  公司概况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1.1 公司简介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1.2 主营业务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1.3 财务概况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1.4 股东背景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第二章  财务分析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2.1 盈利能力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2.2 偿债能力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2.3 现金流分析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2.4 营运能力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2.5 财务趋势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第三章  股权结构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3.1 前十大股东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3.2 实际控制人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3.3 股权质押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第四章  风险全景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4.1 司法诉讼与舆情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4.2 戴帽原因及审计质量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4.3 退市风险研判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第五章  风险因素与投资逻辑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5.1 驱动因素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5.2 压制因素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5.3 多空博弈研判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第六章  资本运作成本与安全边际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6.1 隐性负债穿透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6.2 交易本质定性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第七章  估值分析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7.1 壳资源估值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7.2 估值情景分析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第八章  投资建议与策略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8.1 ST保壳评分系统V2 十三维评分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8.2 综合评级（V2刻度）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8.3 分层策略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8.4 重点跟踪指标清单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第九章  附录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9.1 核心风险事项跟踪表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9.2 核心财务数据汇总表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9.3 股东结构汇总表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9.4 壳资源估值参照表</w:t>
      </w:r>
    </w:p>
    <w:p>
      <w:pPr>
        <w:spacing w:after="20"/>
      </w:pPr>
      <w:r>
        <w:rPr>
          <w:rFonts w:ascii="微软雅黑" w:hAnsi="微软雅黑" w:eastAsia="微软雅黑"/>
          <w:b w:val="0"/>
          <w:sz w:val="20"/>
        </w:rPr>
        <w:t xml:space="preserve">  9.5 潜在并购资产画像</w:t>
      </w:r>
    </w:p>
    <w:p>
      <w:pPr>
        <w:spacing w:after="20"/>
      </w:pPr>
      <w:r>
        <w:rPr>
          <w:rFonts w:ascii="微软雅黑" w:hAnsi="微软雅黑" w:eastAsia="微软雅黑"/>
          <w:b/>
          <w:sz w:val="22"/>
        </w:rPr>
        <w:t>免责声明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第八章  投资建议与策略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8.1 ST保壳评分系统V2 十三维评分（score_v2 单源，config v2.1）</w:t>
      </w:r>
    </w:p>
    <w:p>
      <w:pPr>
        <w:spacing w:before="0" w:after="80"/>
      </w:pPr>
      <w:r>
        <w:rPr>
          <w:rFonts w:ascii="微软雅黑" w:hAnsi="微软雅黑" w:eastAsia="微软雅黑"/>
          <w:sz w:val="19"/>
        </w:rPr>
        <w:t>评分口径：与保壳风云榜同刻度同数据源（score_v2单源出分，财务基期以榜单快照为准），十三维权重=近5年176家退市案例实证贡献度，维度即退市通道。通道封顶（一票否决）：C1=0或B2=0→总分封顶50；B1=0→总分封顶30。</w:t>
      </w:r>
    </w:p>
    <w:tbl>
      <w:tblPr>
        <w:tblStyle w:val="TableGrid"/>
        <w:jc w:val="center"/>
        <w:tblLook w:firstColumn="1" w:firstRow="1" w:lastColumn="0" w:lastRow="0" w:noHBand="0" w:noVBand="1" w:val="04A0"/>
        <w:tblW w:w="9072" w:type="dxa"/>
        <w:tblLayout w:type="fixed"/>
      </w:tblPr>
      <w:tblGrid>
        <w:gridCol w:w="1752"/>
        <w:gridCol w:w="873"/>
        <w:gridCol w:w="873"/>
        <w:gridCol w:w="5574"/>
      </w:tblGrid>
      <w:tr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得分逻辑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C1 面值距离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股价4.54元（≥3元档），距1元面值线安全垫充足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C2 壳价值锚定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市值15.44亿=壳费基准33.81亿的4.6折（≤5折=并购机会区，满分8）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S1 实控人性质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民企（个人）冯春保，无国资/产业资本背书，保壳资源有限（默认档3）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S2 股权质押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整体质押28.78%（20%-50%档，扣2分）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A1 净资产充裕度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归母净资产8.40亿（2025年报，5-10亿档）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A2 扣非主营收入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扣除后营收2.89亿、缺口4%（档位12分）−*ST戴帽(3)−低毛利&lt;30%(3)=6分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A3 扣非盈利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扣非净利-6,359万（2025），连续3年为负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D1 现金流质量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2025经营现金流-6,271万，收现比恶化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B1 立案/造假信号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榜单快照无信号（10分）；动态敏感度见8.2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B2 审计意见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2025年度标准无保留（大信，财务+内控双无保留）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F2 重组/纾困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无重整/重组/债务豁免/赠与预案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F1 经营改善趋势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营收、净利同比双降（2025 vs 2024）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H1 实控人司法风险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实控人无冻结/限高/立案记录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5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73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60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574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B（51-70分，保壳能力中等） · 通道封顶未触发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</w:rPr>
        <w:t>8.2 综合评级（V2刻度）</w:t>
      </w:r>
    </w:p>
    <w:p>
      <w:pPr>
        <w:spacing w:before="0" w:after="80"/>
      </w:pPr>
      <w:r>
        <w:rPr>
          <w:rFonts w:ascii="微软雅黑" w:hAnsi="微软雅黑" w:eastAsia="微软雅黑"/>
          <w:b/>
          <w:sz w:val="22"/>
        </w:rPr>
        <w:t>全市场保壳评分总分：60 / 100分（ST保壳评分系统V2·十三维）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综合评级：B（51-70分，保壳能力中等）——全市场排名第47位（保壳容易度视角，score_v2单源，与保壳风云榜同刻度）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评级解读（V2视角）：高分维度集中在「安全垫与合规」（壳价值/审计/净资产），扣分维度指向「主业失血+无外力介入」（盈利/现金流/趋势/重组）。评级为 B 档主要由壳价值与账面资产贡献，而非经营修复。</w:t>
      </w:r>
    </w:p>
    <w:p>
      <w:pPr>
        <w:spacing w:before="0" w:after="80"/>
      </w:pPr>
      <w:r>
        <w:rPr>
          <w:rFonts w:ascii="微软雅黑" w:hAnsi="微软雅黑" w:eastAsia="微软雅黑"/>
          <w:sz w:val="19"/>
        </w:rPr>
        <w:t>动态风险提示（榜单快照未覆盖）：① B1立案信号可能未捕获最新立案调查（巨潮扫描窗口差）；② 若升级为「重大违法认定」，B1=0→总分封顶30/D档；③ V2财务基期为榜单快照的2025年报，未含最新报告期恶化数据。评分对结局的预测力有限，实际退市风险研判见第五章。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8.3 分层策略</w:t>
      </w:r>
    </w:p>
    <w:tbl>
      <w:tblPr>
        <w:tblStyle w:val="TableGrid"/>
        <w:jc w:val="center"/>
        <w:tblLook w:firstColumn="1" w:firstRow="1" w:lastColumn="0" w:lastRow="0" w:noHBand="0" w:noVBand="1" w:val="04A0"/>
        <w:tblW w:w="9072" w:type="dxa"/>
        <w:tblLayout w:type="fixed"/>
      </w:tblPr>
      <w:tblGrid>
        <w:gridCol w:w="1890"/>
        <w:gridCol w:w="3402"/>
        <w:gridCol w:w="2268"/>
        <w:gridCol w:w="1512"/>
      </w:tblGrid>
      <w:tr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90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时间维度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关键节点</w:t>
            </w:r>
          </w:p>
        </w:tc>
        <w:tc>
          <w:tcPr>
            <w:shd w:val="clear" w:color="auto" w:fill="1F4E79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仓位建议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90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短期(0-6月)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观望为主，不参与；跟踪立案调查进展与保壳公告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立案结论、最新季报(10月)、重组/并购公告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0%（场外资金）</w:t>
            </w:r>
          </w:p>
        </w:tc>
      </w:tr>
      <w:tr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90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中期(6-12月)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仅当出现实质性保壳动作（预案披露+立案结案）再评估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年报业绩预告(次年1月)、年报(次年4月)</w:t>
            </w:r>
          </w:p>
        </w:tc>
        <w:tc>
          <w:tcPr>
            <w:shd w:val="clear" w:color="auto" w:fill="DEEAF1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0-3%（专业投资者博弈仓）</w:t>
            </w:r>
          </w:p>
        </w:tc>
      </w:tr>
      <w:tr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90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长期(12月+)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退市落地→停止交易退出；摘帽成功→重新评估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终止上市决定/摘帽日</w:t>
            </w:r>
          </w:p>
        </w:tc>
        <w:tc>
          <w:tcPr>
            <w:shd w:val="clear" w:color="auto" w:fill="BDD7EE"/>
            <w:tcBorders>
              <w:top w:sz="1" w:val="single" w:color="CCCCCC"/>
              <w:left w:sz="1" w:val="single" w:color="CCCCCC"/>
              <w:bottom w:sz="1" w:val="single" w:color="CCCCCC"/>
              <w:right w:sz="1" w:val="single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spacing w:before="0" w:after="80"/>
      </w:pPr>
      <w:r>
        <w:rPr>
          <w:rFonts w:ascii="微软雅黑" w:hAnsi="微软雅黑" w:eastAsia="微软雅黑"/>
          <w:sz w:val="21"/>
        </w:rPr>
        <w:t>核心原则：在立案调查结案+实质性保壳方案落地之前，不参与。对场外资金（非专业投资者）：明确不建议参与，退市归零风险远超博弈收益。对专业投资者：若确要博弈，仅限事件驱动策略，仓位≤2%，严格设置止损（-15%），并以「立案结案为中性、重大违法认定为清仓」为硬纪律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8.4 重点跟踪指标清单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1. 立案调查进展：</w:t>
      </w:r>
      <w:r>
        <w:rPr>
          <w:rFonts w:ascii="微软雅黑" w:hAnsi="微软雅黑" w:eastAsia="微软雅黑"/>
          <w:sz w:val="19"/>
        </w:rPr>
        <w:t>证监会调查结论——若构成重大违法，直接切换退市路径，一切保壳预期失效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2. 2026Q3营收：</w:t>
      </w:r>
      <w:r>
        <w:rPr>
          <w:rFonts w:ascii="微软雅黑" w:hAnsi="微软雅黑" w:eastAsia="微软雅黑"/>
          <w:sz w:val="19"/>
        </w:rPr>
        <w:t>10月三季报：Q3单季营收是否回升至6,000万+（对应H2合计约1.2亿+，距3亿红线仍远但可见边际）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3. 短贷与现金流：</w:t>
      </w:r>
      <w:r>
        <w:rPr>
          <w:rFonts w:ascii="微软雅黑" w:hAnsi="微软雅黑" w:eastAsia="微软雅黑"/>
          <w:sz w:val="19"/>
        </w:rPr>
        <w:t>2.37亿元短贷的续贷情况、货币资金变化，警惕流动性断裂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4. 保壳动作公告：</w:t>
      </w:r>
      <w:r>
        <w:rPr>
          <w:rFonts w:ascii="微软雅黑" w:hAnsi="微软雅黑" w:eastAsia="微软雅黑"/>
          <w:sz w:val="19"/>
        </w:rPr>
        <w:t>是否发布重大资产重组/发行股份购买资产/重整预案，方案可行性与时间表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5. 股东户数变化：</w:t>
      </w:r>
      <w:r>
        <w:rPr>
          <w:rFonts w:ascii="微软雅黑" w:hAnsi="微软雅黑" w:eastAsia="微软雅黑"/>
          <w:sz w:val="19"/>
        </w:rPr>
        <w:t>11,150户基础上是否进一步集中，大额吸筹信号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6. 索赔进展：</w:t>
      </w:r>
      <w:r>
        <w:rPr>
          <w:rFonts w:ascii="微软雅黑" w:hAnsi="微软雅黑" w:eastAsia="微软雅黑"/>
          <w:sz w:val="19"/>
        </w:rPr>
        <w:t>投资者索赔规模与立案结论联动，关注是否触发重大违法认定</w:t>
      </w:r>
    </w:p>
    <w:p>
      <w:r>
        <w:br w:type="page"/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1F4E79"/>
          <w:sz w:val="30"/>
        </w:rPr>
        <w:t>免责声明</w:t>
      </w:r>
    </w:p>
    <w:p>
      <w:pPr>
        <w:spacing w:before="0" w:after="20"/>
      </w:pPr>
      <w:r>
        <w:rPr>
          <w:rFonts w:ascii="微软雅黑" w:hAnsi="微软雅黑" w:eastAsia="微软雅黑"/>
          <w:b/>
          <w:color w:val="646464"/>
          <w:sz w:val="19"/>
        </w:rPr>
        <w:t>【评级说明】</w:t>
      </w:r>
    </w:p>
    <w:p>
      <w:pPr>
        <w:spacing w:after="80" w:line="280" w:lineRule="exact"/>
      </w:pPr>
      <w:r>
        <w:rPr>
          <w:rFonts w:ascii="微软雅黑" w:hAnsi="微软雅黑" w:eastAsia="微软雅黑"/>
          <w:color w:val="646464"/>
          <w:sz w:val="19"/>
        </w:rPr>
        <w:t>本报告为「ST摸鱼风云-V5个股分析报告」，采用ST保壳评分系统V2（score_v2单源出分，config v2.1，100分制），下设十三个维度（C1面值距离6分/C2壳价值锚定8分/S1实控人性质12分/S2股权质押6分/A1净资产充裕度10分/A2扣非主营收入12分/A3扣非盈利6分/D1现金流质量4分/B1立案造假信号10分/B2审计意见12分/F2重组纾困6分/F1经营改善趋势4分/H1实控人司法风险4分），维度=退市通道，权重=近5年176家退市案例实证贡献度。综合评级分为四档：A（&gt;70分）保壳能力强、B（51-70分）中等、C（31-50分）较弱、D（≤30分）极易退市。高分=保壳容易，与保壳风云榜榜单同刻度横向可比。通道封顶（一票否决）：C1=0或B2=0→总分封顶50；B1=0→总分封顶30。C2壳价值锚定采用L2单源壳费基准（own口径：近2年154笔完成实控权变更、交易市值&lt;60亿样本，壳费中位数22.02亿元、交易市值中位数33.81亿元）。评分基于公开可获取的财务数据和披露信息，采用标准化打分模型，不构成盈利预测或投资承诺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646464"/>
          <w:sz w:val="19"/>
        </w:rPr>
        <w:t>【分析师声明】</w:t>
      </w:r>
    </w:p>
    <w:p>
      <w:pPr>
        <w:spacing w:after="80" w:line="280" w:lineRule="exact"/>
      </w:pPr>
      <w:r>
        <w:rPr>
          <w:rFonts w:ascii="微软雅黑" w:hAnsi="微软雅黑" w:eastAsia="微软雅黑"/>
          <w:color w:val="646464"/>
          <w:sz w:val="19"/>
        </w:rPr>
        <w:t>本报告由小调AI-WorkBuddy智能分析系统生成，底层使用公开AI模型进行数据处理和文本撰写。分析过程遵循独立、客观、公正原则，数据来源于westock行情/财务/股东接口、st-factor-fetch公共因子库、巨潮资讯网、公司公告等公开渠道。研究方法包括但不限于：财务报表分析、合规记录审查、司法诉讼检索、股权结构穿透、壳资源估值模型、ST保壳评分系统V2十三维保壳评分等标准化流程。分析师的薪酬不与本报告的具体评级或投资建议挂钩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999999"/>
      </w:pBdr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spacing w:before="0" w:after="0"/>
            <w:jc w:val="left"/>
          </w:pPr>
          <w:r>
            <w:rPr>
              <w:rFonts w:ascii="微软雅黑" w:hAnsi="微软雅黑" w:eastAsia="微软雅黑"/>
              <w:color w:val="999999"/>
              <w:sz w:val="16"/>
            </w:rPr>
            <w:t>小调AI - workbuddy</w:t>
          </w:r>
        </w:p>
      </w:tc>
      <w:tc>
        <w:tcPr>
          <w:tcW w:type="dxa" w:w="4320"/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spacing w:before="0" w:after="0"/>
            <w:jc w:val="right"/>
          </w:pPr>
          <w:r>
            <w:rPr>
              <w:color w:val="999999"/>
              <w:sz w:val="16"/>
            </w:rPr>
            <w:fldChar w:fldCharType="begin"/>
            <w:instrText xml:space="preserve"> PAGE </w:instrText>
            <w:fldChar w:fldCharType="end"/>
          </w:r>
          <w:r>
            <w:rPr>
              <w:color w:val="999999"/>
              <w:sz w:val="16"/>
            </w:rPr>
            <w:t xml:space="preserve"> / </w:t>
          </w:r>
          <w:r>
            <w:rPr>
              <w:color w:val="999999"/>
              <w:sz w:val="16"/>
            </w:rPr>
            <w:fldChar w:fldCharType="begin"/>
            <w:instrText xml:space="preserve"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999999"/>
        <w:sz w:val="16"/>
      </w:rPr>
      <w:t>ST冀凯(002691) | ST摸鱼风云-V5个股分析报告 | 2026年9月2日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