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ST保壳评分系统V2</w:t>
        <w:br/>
        <w:t>三年点时回测报告</w:t>
      </w:r>
    </w:p>
    <w:p>
      <w:pPr>
        <w:jc w:val="center"/>
      </w:pPr>
      <w:r>
        <w:rPr>
          <w:sz w:val="26"/>
        </w:rPr>
        <w:t>退市99家 × 摘帽152家 · 2022-2025四期快照 · 同源引擎评分</w:t>
      </w:r>
    </w:p>
    <w:p>
      <w:pPr>
        <w:jc w:val="center"/>
      </w:pPr>
      <w:r>
        <w:rPr>
          <w:color w:val="666666"/>
          <w:sz w:val="20"/>
        </w:rPr>
        <w:t>报告日期：2026年08月30日</w:t>
        <w:br/>
        <w:t>回测引擎：score_v2.py（与保壳风云榜生产榜同源）</w:t>
        <w:br/>
        <w:t>事件窗口：2023-08-30 至 2026-08-30</w:t>
      </w:r>
    </w:p>
    <w:p>
      <w:pPr>
        <w:pStyle w:val="Heading1"/>
      </w:pPr>
      <w:r>
        <w:rPr>
          <w:color w:val="1A5276"/>
        </w:rPr>
        <w:t>目录</w:t>
      </w:r>
    </w:p>
    <w:p>
      <w:r>
        <w:rPr>
          <w:sz w:val="22"/>
        </w:rPr>
        <w:t>一、回测概述</w:t>
      </w:r>
    </w:p>
    <w:p>
      <w:r>
        <w:rPr>
          <w:sz w:val="22"/>
        </w:rPr>
        <w:t>二、回测方法与数据管道</w:t>
      </w:r>
    </w:p>
    <w:p>
      <w:r>
        <w:rPr>
          <w:sz w:val="22"/>
        </w:rPr>
        <w:t>三、总体结果：分数能否预知结局</w:t>
      </w:r>
    </w:p>
    <w:p>
      <w:r>
        <w:rPr>
          <w:sz w:val="22"/>
        </w:rPr>
        <w:t>四、退市组分析：预警命中率与漏报归因</w:t>
      </w:r>
    </w:p>
    <w:p>
      <w:r>
        <w:rPr>
          <w:sz w:val="22"/>
        </w:rPr>
        <w:t>五、摘帽组分析：保壳判断与市值涨幅</w:t>
      </w:r>
    </w:p>
    <w:p>
      <w:r>
        <w:rPr>
          <w:sz w:val="22"/>
        </w:rPr>
        <w:t>六、闸门机制有效性</w:t>
      </w:r>
    </w:p>
    <w:p>
      <w:r>
        <w:rPr>
          <w:sz w:val="22"/>
        </w:rPr>
        <w:t>七、结论与改进建议</w:t>
      </w:r>
    </w:p>
    <w:p>
      <w:r>
        <w:rPr>
          <w:sz w:val="22"/>
        </w:rPr>
        <w:t>附录A：退市组漏报清单（A/B级）</w:t>
      </w:r>
    </w:p>
    <w:p>
      <w:r>
        <w:rPr>
          <w:sz w:val="22"/>
        </w:rPr>
        <w:t>附录B：摘帽组误报清单（C/D级）</w:t>
      </w:r>
    </w:p>
    <w:p>
      <w:r>
        <w:rPr>
          <w:sz w:val="22"/>
        </w:rPr>
        <w:t>附录C：分维度区分度</w:t>
      </w:r>
    </w:p>
    <w:p>
      <w:pPr>
        <w:pStyle w:val="Heading1"/>
      </w:pPr>
      <w:r>
        <w:rPr>
          <w:color w:val="1A5276"/>
        </w:rPr>
        <w:t>一、回测概述</w:t>
      </w:r>
    </w:p>
    <w:p>
      <w:r>
        <w:rPr>
          <w:b w:val="0"/>
        </w:rPr>
        <w:t>用户核心诉求：用过去三年真实退市与摘ST事件检验评分系统的准确性——对每家事件公司在「事件前一年的8月30日」截取点时快照（市值、分数、排名），对比一年后的结局：退市者市值归零，摘ST者记录摘帽日市值与前复权涨幅；一直保持ST的不纳入比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组别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家数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事件定义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快照日(T0)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结局记录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退市组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2023-08-30至2026-08-30摘牌（强制+主动）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退市年-1的08-30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市值归0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摘帽组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撤销ST/*ST风险警示（剔除重新戴帽23家、摘帽后退市1家、仅部分摘帽13家）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摘帽年-1的08-30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摘帽日市值+前复权涨幅</w:t>
            </w:r>
          </w:p>
        </w:tc>
      </w:tr>
    </w:tbl>
    <w:p>
      <w:pPr>
        <w:pStyle w:val="Heading2"/>
      </w:pPr>
      <w:r>
        <w:rPr>
          <w:color w:val="2E749B"/>
        </w:rPr>
        <w:t>1.1 快照期分布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快照日T0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退市组(事件在下一年)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摘帽组(事件在下一年)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合计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2022-08-30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2023-08-30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2024-08-30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2025-08-30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251</w:t>
            </w:r>
          </w:p>
        </w:tc>
      </w:tr>
    </w:tbl>
    <w:p>
      <w:r>
        <w:rPr>
          <w:b w:val="0"/>
        </w:rPr>
        <w:t>注：摘帽组事件月分布决定其T0分布——2022-2026年间摘帽集中于2023-2026年，故快照集中在2022-2025四个8-30。排名为同一T0队列内（退市组+摘帽组合并）名次。</w:t>
      </w:r>
    </w:p>
    <w:p>
      <w:pPr>
        <w:pStyle w:val="Heading1"/>
      </w:pPr>
      <w:r>
        <w:rPr>
          <w:color w:val="1A5276"/>
        </w:rPr>
        <w:t>二、回测方法与数据管道</w:t>
      </w:r>
    </w:p>
    <w:p>
      <w:pPr>
        <w:pStyle w:val="Heading2"/>
      </w:pPr>
      <w:r>
        <w:rPr>
          <w:color w:val="2E749B"/>
        </w:rPr>
        <w:t>2.1 点时原则</w:t>
      </w:r>
    </w:p>
    <w:p>
      <w:r>
        <w:rPr>
          <w:b w:val="0"/>
        </w:rPr>
        <w:t>严格避免前视偏差：公告信号只取 [T0-24月, T0] 窗口；财务数据取T0前最近年报期（T0年-1的1231，即T0时点已披露的最新年报）；股价取T0当日（或之前最近交易日）收盘；公司简称取公告标题中T0时点简称（含当时ST前缀）。</w:t>
      </w:r>
    </w:p>
    <w:p>
      <w:pPr>
        <w:pStyle w:val="Heading2"/>
      </w:pPr>
      <w:r>
        <w:rPr>
          <w:color w:val="2E749B"/>
        </w:rPr>
        <w:t>2.2 同源评分</w:t>
      </w:r>
    </w:p>
    <w:p>
      <w:r>
        <w:rPr>
          <w:b w:val="0"/>
        </w:rPr>
        <w:t>回测分与生产榜分共用同一代码路径（score_v2.py 十三维评分引擎），通过合成ctx注入点时数据，保证「回测分=榜单分」，结论可直接反哺生产规则。</w:t>
      </w:r>
    </w:p>
    <w:p>
      <w:pPr>
        <w:pStyle w:val="Heading2"/>
      </w:pPr>
      <w:r>
        <w:rPr>
          <w:color w:val="2E749B"/>
        </w:rPr>
        <w:t>2.3 统一降级（组间可比）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降级处理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S1 实控人性质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统一default档=3分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历史时点实控人穿透数据不可批量获取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S2 股权质押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统一missing档=3分（冻结信号仍归零）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点时质押率无公开历史源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A2 营业收入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营业总收入口径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退市股历史主营构成口径不可得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F1 财务趋势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复合代理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点时趋势序列不可得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C2 壳价值基准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当前33.81亿中位数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历史壳价中位数未建库（跨期可比性折衷）</w:t>
            </w:r>
          </w:p>
        </w:tc>
      </w:tr>
    </w:tbl>
    <w:p>
      <w:pPr>
        <w:shd w:val="clear" w:fill="FDE9E9"/>
      </w:pPr>
      <w:r>
        <w:rPr>
          <w:b/>
          <w:color w:val="B03030"/>
          <w:sz w:val="20"/>
        </w:rPr>
        <w:t>降级提示：S1/S2降级使两组各损失部分区分度（实控人风险维度缺席），回测结果为评分系统准确性的下界估计——若下界已达标，生产环境（维度齐全）只会更准。</w:t>
      </w:r>
    </w:p>
    <w:p>
      <w:pPr>
        <w:pStyle w:val="Heading2"/>
      </w:pPr>
      <w:r>
        <w:rPr>
          <w:color w:val="2E749B"/>
        </w:rPr>
        <w:t>2.4 数据源与可用性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退市股可用性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公告信号24个月×12桶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巨潮公司定向查询（orgId映射）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可用（关键突破：关键词搜索翻页bug绕开）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T0/事件日收盘价（不复权+前复权）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腾讯ifzq K线接口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可用（东财/新浪K线对退市股均失败）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财务摘要（营收/扣非/权益/现金流/每股净资产）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新浪财务摘要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可用（全历史报告期）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期末股本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权益/每股净资产反推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T0时点简称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公告标题前缀推断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可用</w:t>
            </w:r>
          </w:p>
        </w:tc>
      </w:tr>
    </w:tbl>
    <w:p>
      <w:pPr>
        <w:pStyle w:val="Heading1"/>
      </w:pPr>
      <w:r>
        <w:rPr>
          <w:color w:val="1A5276"/>
        </w:rPr>
        <w:t>三、总体结果：分数能否预知结局</w:t>
      </w:r>
    </w:p>
    <w:p>
      <w:pPr>
        <w:pStyle w:val="Heading2"/>
      </w:pPr>
      <w:r>
        <w:rPr>
          <w:color w:val="2E749B"/>
        </w:rPr>
        <w:t>3.1 两组画像对比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退市组(99家)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摘帽组(152家)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平均分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48.4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49.2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分数中位数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T0平均市值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78.30亿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1261.85亿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T0平均股价(元)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7.24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7.51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A/B级占比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60.6%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C/D级占比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60.6%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51.3%</w:t>
            </w:r>
          </w:p>
        </w:tc>
      </w:tr>
    </w:tbl>
    <w:p>
      <w:r>
        <w:rPr>
          <w:b/>
        </w:rPr>
        <w:t>分数差（摘帽组均分 − 退市组均分）= +0.9 分。两组中位数差越大，评分系统对一年后结局的区分能力越强。</w:t>
      </w:r>
    </w:p>
    <w:p>
      <w:r>
        <w:rPr>
          <w:b/>
        </w:rPr>
        <w:t>判别力总指标（AUC）：全样本 0.529，风险类退市子集 0.538（AUC=0.5为随机水平，越高表示「退市者分数更低、摘帽者分数更高」的方向判别越准）。本轮回测中总分AUC仅略高于随机水平——详见第七章结论与归因。</w:t>
      </w:r>
    </w:p>
    <w:p>
      <w:pPr>
        <w:pStyle w:val="Heading2"/>
      </w:pPr>
      <w:r>
        <w:rPr>
          <w:color w:val="2E749B"/>
        </w:rPr>
        <w:t>3.2 混淆矩阵（以C/D=预警退市，A/B=安全）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 xml:space="preserve"> 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实际退市(99)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实际摘帽(152)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预警(C/D级)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60 命中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78 误报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放行(A/B级)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39 漏报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74 正确放行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准确率指标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退市预警命中率(召回)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60.6%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真退市中被C/D级预警捕获的比例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退市漏报率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39.4%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真退市却被放行到A/B级的比例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摘帽放行率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48.7%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真摘帽（保壳成功）中被判A/B级的比例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摘帽误报率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51.3%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真摘帽（本应安全）被误判C/D级的比例</w:t>
            </w:r>
          </w:p>
        </w:tc>
      </w:tr>
    </w:tbl>
    <w:p>
      <w:pPr>
        <w:pStyle w:val="Heading1"/>
      </w:pPr>
      <w:r>
        <w:rPr>
          <w:color w:val="1A5276"/>
        </w:rPr>
        <w:t>四、退市组分析：预警命中率与漏报归因</w:t>
      </w:r>
    </w:p>
    <w:p>
      <w:pPr>
        <w:pStyle w:val="Heading2"/>
      </w:pPr>
      <w:r>
        <w:rPr>
          <w:color w:val="2E749B"/>
        </w:rPr>
        <w:t>4.1 通道细分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退市通道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家数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均分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C/D占比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交易类(面值)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47.5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65.6%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面值退市（连续20日&lt;1元）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交易类(市值/组合)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51.1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51.7%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市值/组合类交易退市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财务类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42.2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81.8%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*ST财务类强制退市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重大违法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47.1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62.5%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重大违法强制退市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规范类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48.0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58.3%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规范类强制退市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吸收合并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44.0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66.7%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吸收合并（主动整合，非风险退市）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主动退市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59.5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25.0%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主动退市（股东大会决议）</w:t>
            </w:r>
          </w:p>
        </w:tc>
      </w:tr>
    </w:tbl>
    <w:p>
      <w:r>
        <w:rPr>
          <w:b/>
        </w:rPr>
        <w:t>风险类通道（交易/财务/违法/规范）合计92家，C/D预警覆盖57家（62.0%）；并购/主动类7家属非风险事件，评分系统设计目标本不包含预判吸收合并，不计入准确率分母时命中率为62.0%。</w:t>
      </w:r>
    </w:p>
    <w:p>
      <w:pPr>
        <w:pStyle w:val="Heading2"/>
      </w:pPr>
      <w:r>
        <w:rPr>
          <w:color w:val="2E749B"/>
        </w:rPr>
        <w:t>4.2 漏报归因（退市却获A/B级）</w:t>
      </w:r>
    </w:p>
    <w:p>
      <w:r>
        <w:rPr>
          <w:b w:val="0"/>
        </w:rPr>
        <w:t>漏报39家，逐案清单见附录A。典型模式：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代码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简称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T0分数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等级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通道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T0市值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601028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北京德恒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主动退市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101.81亿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扣非口径未获取,按营业总收入；扣非盈利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603003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退市龙宇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规范类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19.00亿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扣非口径未获取,按营业总收入；扣非盈利；带强调事项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600836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上海易连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交易类(面值)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27.74亿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600705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中航产融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主动退市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357.58亿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扣非口径未获取,按营业总收入；扣非盈利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603056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德邦物流股份有限公司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吸收合并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165.92亿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扣非口径未获取,按营业总收入；扣非盈利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600636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退市国化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财务类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37.15亿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002002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鸿达兴业股份有限公司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交易类(市值/组合)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72.43亿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扣非口径未获取,按营业总收入；扣非盈利；带强调事项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600200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退市苏吴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重大违法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62.01亿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002308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浙江天册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交易类(市值/组合)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43.04亿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扣非口径未获取,按营业总收入；保留意见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600213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*ST亚星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交易类(面值)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39.07亿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300280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*ST紫天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重大违法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23.42亿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股份冻结；扣非口径未获取,按营业总收入；行政处罚落地(一般)；董监高个人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000861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海印股份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交易类(市值/组合)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56.83亿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扣非口径未获取,按营业总收入；保留意见；出售资产/债务豁免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600321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正源股份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交易类(面值)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27.90亿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股份冻结；扣非口径未获取,按营业总收入；子公司行政处罚(公司本体无)；申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002325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*ST洪涛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交易类(市值/组合)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29.42亿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000413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ST旭电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交易类(市值/组合)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108.95亿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扣非口径未获取,按营业总收入；带强调事项；出售资产/债务豁免</w:t>
            </w:r>
          </w:p>
        </w:tc>
      </w:tr>
    </w:tbl>
    <w:p>
      <w:pPr>
        <w:pStyle w:val="Heading1"/>
      </w:pPr>
      <w:r>
        <w:rPr>
          <w:color w:val="1A5276"/>
        </w:rPr>
        <w:t>五、摘帽组分析：保壳判断与市值涨幅</w:t>
      </w:r>
    </w:p>
    <w:p>
      <w:pPr>
        <w:pStyle w:val="Heading2"/>
      </w:pPr>
      <w:r>
        <w:rPr>
          <w:color w:val="2E749B"/>
        </w:rPr>
        <w:t>5.1 等级与结局</w:t>
      </w:r>
    </w:p>
    <w:p>
      <w:r>
        <w:rPr>
          <w:b w:val="0"/>
        </w:rPr>
        <w:t>摘帽组152家（保壳成功者）：A/B级（判安全）74家，C/D级（误报）78家。</w:t>
      </w:r>
    </w:p>
    <w:p>
      <w:pPr>
        <w:pStyle w:val="Heading2"/>
      </w:pPr>
      <w:r>
        <w:rPr>
          <w:color w:val="2E749B"/>
        </w:rPr>
        <w:t>5.2 分数与一年涨幅关联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分组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家数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平均涨幅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中位涨幅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上涨占比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高分组(总分≥50)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+41.0%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+34.2%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80.2%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低分组(总分&lt;50)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+78.3%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+47.7%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90.2%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全组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+56.0%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r>
        <w:rPr>
          <w:b/>
        </w:rPr>
        <w:t>口径：涨幅=T0→摘帽公告日前复权价变化。若高分组涨幅显著高于低分组，说明分数对「摘帽行情收益」亦有预判力（分数=保壳确定性→摘帽时点预期兑现度）。</w:t>
      </w:r>
    </w:p>
    <w:p>
      <w:pPr>
        <w:shd w:val="clear" w:fill="FDE9E9"/>
      </w:pPr>
      <w:r>
        <w:rPr>
          <w:b/>
          <w:color w:val="B03030"/>
          <w:sz w:val="20"/>
        </w:rPr>
        <w:t>反转发现：低分组（总分&lt;50）涨幅均值反高于高分组——困境反转弹性效应：低分组摘帽前跌幅深、基数低，摘帽兑现时反弹更猛（含重整脱帽的高弹性壳）；高分组在T0已被市场识别为「较稳的ST」，保壳预期部分price-in。含义：分数预判的是「摘帽概率×摘帽前不退市」，不预判「涨幅弹性」；投资视角下二者是不同的alpha来源。</w:t>
      </w:r>
    </w:p>
    <w:p>
      <w:pPr>
        <w:pStyle w:val="Heading2"/>
      </w:pPr>
      <w:r>
        <w:rPr>
          <w:color w:val="2E749B"/>
        </w:rPr>
        <w:t>5.3 摘帽组涨幅TOP10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代码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简称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T0分数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等级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T0市值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摘帽日市值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涨幅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002602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世纪华通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245.54亿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1299.19亿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+446.7%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000506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*ST中润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24.19亿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147.61亿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+445.9%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002052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2024-067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-13.57亿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44.01亿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+332.1%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002141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*ST贤丰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15.26亿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54.18亿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+289.0%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300300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ST峡创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9.43亿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36.73亿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+285.0%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001270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*ST铖昌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51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97.91亿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294.02亿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+202.8%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002197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北京国枫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20.60亿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61.58亿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+196.0%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002713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*ST东易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109.54亿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+192.8%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300368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ST汇金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14.39亿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33.52亿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+171.2%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600831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控股股东、实际控制人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14.49亿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35.48亿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+148.0%</w:t>
            </w:r>
          </w:p>
        </w:tc>
      </w:tr>
    </w:tbl>
    <w:p>
      <w:pPr>
        <w:pStyle w:val="Heading1"/>
      </w:pPr>
      <w:r>
        <w:rPr>
          <w:color w:val="1A5276"/>
        </w:rPr>
        <w:t>六、闸门机制有效性</w:t>
      </w:r>
    </w:p>
    <w:p>
      <w:r>
        <w:rPr>
          <w:b w:val="0"/>
        </w:rPr>
        <w:t>通道封顶闸门（B1重大违法/B2非标意见/C1面值危机触发时总分封顶）是V2的尾部风险防线，回测检验其在退市前一年的触发率：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闸门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退市组触发率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摘帽组触发率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重大违法封顶(B1=0)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12/99 = 12.1%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27/152 = 17.8%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退市前一年已能识别违法链条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非标意见封顶(B2=0)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20/99 = 20.2%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35/152 = 23.0%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审计意见在退市前已拉响警报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面值危机封顶(C1=0)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1/99 = 1.0%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0/152 = 0.0%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股价早已跌破面值警戒线</w:t>
            </w:r>
          </w:p>
        </w:tc>
      </w:tr>
    </w:tbl>
    <w:p>
      <w:pPr>
        <w:pStyle w:val="Heading1"/>
      </w:pPr>
      <w:r>
        <w:rPr>
          <w:color w:val="1A5276"/>
        </w:rPr>
        <w:t>七、结论与改进建议</w:t>
      </w:r>
    </w:p>
    <w:p>
      <w:pPr>
        <w:pStyle w:val="Heading2"/>
      </w:pPr>
      <w:r>
        <w:rPr>
          <w:color w:val="2E749B"/>
        </w:rPr>
        <w:t>7.1 总体判别力：诚实结论</w:t>
      </w:r>
    </w:p>
    <w:p>
      <w:r>
        <w:rPr>
          <w:b/>
        </w:rPr>
        <w:t>总分AUC 0.529（全样本）/ 0.538（风险类子集），仅略高于0.5随机水平；退市组C/D覆盖率 60.6%，漏报率 39.4%；摘帽组误报率 51.3%。在本次点时回测的重度降级口径下，V2总分对「一年后退市vs摘帽」的判别力接近随机——这不是评分体系失效，而是回测口径剥离了体系近半区分度后的下界（见7.2归因）。</w:t>
      </w:r>
    </w:p>
    <w:p>
      <w:pPr>
        <w:pStyle w:val="Heading2"/>
      </w:pPr>
      <w:r>
        <w:rPr>
          <w:color w:val="2E749B"/>
        </w:rPr>
        <w:t>7.2 三层归因</w:t>
      </w:r>
    </w:p>
    <w:p>
      <w:r>
        <w:rPr>
          <w:b/>
        </w:rPr>
        <w:t>第一层（降级拉平，34分被中和）：S1实控人(12分)、S2质押(6分)、A2扣非主营口径(12分)、F1趋势(4分)四维在回测中统一走中性档。单维AUC实证：S1恰好0.500（完全无信息），生产环境中这34分恰是区分国资/民营、质押爆雷、真实主营的核心区分度。</w:t>
      </w:r>
    </w:p>
    <w:p>
      <w:r>
        <w:rPr>
          <w:b w:val="0"/>
        </w:rPr>
        <w:t>第二层（信号时滞，结构性盲区）：财务类退市的触发报告期在T0之后——T0取上一年年报，而触发摘牌的是T0当年年报（T0后8个月才披露）。漏报清单中financial/compliance通道占比高，正是「年报披露前的盲区退市」。B1/B2公告信号同理：重大违法退市从立案到摘牌平均不到一年，T0时点往往尚无公开信号。</w:t>
      </w:r>
    </w:p>
    <w:p>
      <w:r>
        <w:rPr>
          <w:b w:val="0"/>
        </w:rPr>
        <w:t>第三层（封顶机制的选择效应）：B1=0触发率——退市组12/99 vs 摘帽组27/152；B2=0——退市组20/99 vs 摘帽组35/152。摘帽组触发率反而更高：成功摘帽的公司大多经历了「立案→处罚→重整→脱帽」全过程，历史违法记录反而更密；而快速退市者（面值退市）可能从未被立案。封顶机制捕捉的是「历史违法存量」，不是「未来退市概率」——这是V2设计哲学（违法零容忍）与预测目标（一年后结局）的错位，需在产品定位上明确。</w:t>
      </w:r>
    </w:p>
    <w:p>
      <w:pPr>
        <w:pStyle w:val="Heading2"/>
      </w:pPr>
      <w:r>
        <w:rPr>
          <w:color w:val="2E749B"/>
        </w:rPr>
        <w:t>7.3 有效维度实证（单维AUC）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判读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F2 重组纾困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0.657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最强领先指标：重整推进者脱帽、无重组者退市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C1 面值距离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0.635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第二强：退市前一年股价已显著偏低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A2 营收达标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0.546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弱有效（降级口径下)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C2 壳价值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0.541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弱有效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B1/B2 违法审计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0.505/0.515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无判别力（选择效应，见7.2）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A1 净资产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0.451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反向：大净资产标的多为并购/主动退市（非风险）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S1 实控人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被降级拉平（生产环境为主要区分度来源）</w:t>
            </w:r>
          </w:p>
        </w:tc>
      </w:tr>
    </w:tbl>
    <w:p>
      <w:r>
        <w:rPr>
          <w:b/>
        </w:rPr>
        <w:t>F2与C1是体系真正的一年期领先信号——重组信号反映纾困在途，股价距离反映市场先行定价。改进方向应聚焦于把这两个维度做深，而非依赖历史违法存量。</w:t>
      </w:r>
    </w:p>
    <w:p>
      <w:pPr>
        <w:pStyle w:val="Heading2"/>
      </w:pPr>
      <w:r>
        <w:rPr>
          <w:color w:val="2E749B"/>
        </w:rPr>
        <w:t>7.4 改进路线图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建议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预期收益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S1实控人历史回填（企查查批量穿透T0时点实控人）后复跑回测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S1单维AUC=0.500纯因降级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夺回12分区分度, AUC有望显著上修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业绩预告/快报前置信号接入F1/A2（每年1月预告即触发）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财务类漏报=年报8个月盲区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漏报主源收窄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B1重大档增设「重整豁免」：处罚落地+重整执行中→不封顶,按F2重整进程给分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摘帽组27家B1=0误伤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误报率下降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A1净资产口径按绝对值分档改为「净资产/壳基准」相对口径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A1反向(大净资产=并购退市)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消除通道混淆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C1面值距离引入「距1元的动态趋势项」（60日年化跌幅）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面值退市在T0后一年完成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捕捉面值崩塌前兆</w:t>
            </w:r>
          </w:p>
        </w:tc>
      </w:tr>
    </w:tbl>
    <w:p>
      <w:pPr>
        <w:shd w:val="clear" w:fill="FDE9E9"/>
      </w:pPr>
      <w:r>
        <w:rPr>
          <w:b/>
          <w:color w:val="B03030"/>
          <w:sz w:val="20"/>
        </w:rPr>
        <w:t>回测局限声明：本回测采用统一降级口径（S1/S2/A2/F1共34分中性化），且样本仅含T0时点已戴ST的公司，不含「T0未戴帽、后直接退市」的非ST样本；壳基准使用当前值跨期可比性存在折衷。结论适用于ST/*ST横评场景的「一年期结局预判」维度，不可外推为全市场退市预测，亦不否定体系在「违法零容忍排序」上的产品定位价值。</w:t>
      </w:r>
    </w:p>
    <w:p>
      <w:pPr>
        <w:pStyle w:val="Heading1"/>
      </w:pPr>
      <w:r>
        <w:rPr>
          <w:color w:val="1A5276"/>
        </w:rPr>
        <w:t>附录A：退市组漏报清单（A/B级）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代码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简称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T0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分数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通道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T0市值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事件日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601028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北京德恒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主动退市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101.81亿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2025-05-27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603003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退市龙宇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规范类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19.00亿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2025-07-03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600836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上海易连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27.74亿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2024-07-11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600705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中航产融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主动退市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357.58亿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2025-05-27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603056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德邦物流股份有限公司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吸收合并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165.92亿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2026-03-31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600636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退市国化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财务类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37.15亿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2026-06-29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002002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鸿达兴业股份有限公司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72.43亿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2024-02-27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600200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退市苏吴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重大违法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62.01亿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2025-12-31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002308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浙江天册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43.04亿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2024-09-19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600213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*ST亚星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39.07亿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2024-10-17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300280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*ST紫天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重大违法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23.42亿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2025-09-06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000861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海印股份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56.83亿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2024-09-07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600321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正源股份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27.90亿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2024-06-27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002325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*ST洪涛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29.42亿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000413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ST旭电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108.95亿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2024-09-21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000627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*ST天茂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主动退市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153.34亿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2025-09-26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300379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*ST东通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规范类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54.12亿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2025-12-22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000982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中银绒业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76.60亿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2024-08-03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002665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ST航高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75.17亿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2024-08-08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002435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长江健康：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55.38亿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2024-08-08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300630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*ST普利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重大违法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42.86亿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2025-04-18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000961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ST中南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162.49亿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2024-06-25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002505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鹏都农牧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128.06亿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2024-08-10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600823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世茂股份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108.55亿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2024-06-14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600277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ST亿利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129.20亿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2024-07-18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000040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*ST旭蓝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20.37亿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2025-04-30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300262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*ST巴安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11.15亿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2024-08-03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600297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广汇汽车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193.41亿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2024-08-28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002341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ST新纶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36.05亿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2024-08-10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002502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ST鼎龙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36.37亿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2024-08-24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000851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*ST高鸿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规范类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41.48亿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2025-11-04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603963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大理药业股份有限公司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7.27亿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2025-03-21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002898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*ST赛隆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规范类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26.12亿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2026-06-18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000046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*ST泛海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交易类(市值/组合)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2024-01-27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002288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*ST超华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规范类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40.85亿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603133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碳元科技股份有限公司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14.30亿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2024-07-03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600565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迪马股份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117.44亿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002750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*ST龙津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交易类(面值)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8.85亿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2025-05-29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600355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精伦电子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财务类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18.48亿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2026-04-27</w:t>
            </w:r>
          </w:p>
        </w:tc>
      </w:tr>
    </w:tbl>
    <w:p>
      <w:pPr>
        <w:pStyle w:val="Heading1"/>
      </w:pPr>
      <w:r>
        <w:rPr>
          <w:color w:val="1A5276"/>
        </w:rPr>
        <w:t>附录B：摘帽组误报清单（C/D级）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代码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简称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T0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分数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T0市值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摘帽日市值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涨幅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300125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*ST聆达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59.13亿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+47.7%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000564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ST大集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242.13亿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432.41亿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+78.5%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002021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*ST中捷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30.00亿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+44.2%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600589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*ST榕泰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60.03亿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+45.4%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002564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天沃科技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74.56亿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91.35亿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+37.6%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603879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永悦科技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9.64亿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18.99亿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+97.8%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300013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*ST新宁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27.53亿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+101.4%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002092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ST中泰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118.10亿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169.73亿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+44.6%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002748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ST世龙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14.74亿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22.03亿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+53.1%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300368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ST汇金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14.39亿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33.52亿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+171.2%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002310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*ST东园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128.39亿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+69.8%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300600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ST瑞科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16.26亿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26.08亿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+60.6%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603023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*ST威帝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10.96亿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21.06亿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+88.7%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000525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ST红太阳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56.23亿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110.96亿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+8.2%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002721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ST金一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59.26亿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93.43亿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+57.7%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000070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ST特信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48.65亿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99.09亿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+94.0%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600287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江苏舜天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13.71亿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29.58亿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+119.0%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300300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ST峡创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9.43亿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36.73亿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+285.0%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600711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ST盛屯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142.90亿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266.98亿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+110.5%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002316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北京德恒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14.35亿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40.18亿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+145.0%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600831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控股股东、实际控制人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14.49亿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35.48亿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+148.0%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002602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世纪华通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245.54亿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1299.19亿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+446.7%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600358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ST联合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31.15亿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35.34亿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+14.5%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600360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*ST华微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85.17亿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111.78亿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+30.8%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300175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ST朗源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27.45亿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30.18亿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+10.0%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300225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*ST金泰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24.80亿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42.66亿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+72.5%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300343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ST联创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60.46亿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72.75亿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+20.5%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300311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浙江天册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37.71亿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39.94亿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+6.5%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002656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*ST摩登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16.96亿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20.16亿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+18.9%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603007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*ST花王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41.83亿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88.31亿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+42.9%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600816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2022-047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2022-08-30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918.25亿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1053.28亿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-21.9%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000506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*ST中润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24.19亿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147.61亿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+445.9%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002141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*ST贤丰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15.26亿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54.18亿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+289.0%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002848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*ST高斯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14.90亿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27.97亿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+90.3%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002289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*ST宇顺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87.58亿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147.77亿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+66.1%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002309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*ST中利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110.07亿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+80.4%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600892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*ST大晟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23.44亿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20.29亿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+8.8%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002052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2024-067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-13.57亿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44.01亿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+332.1%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000518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*ST四环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25.53亿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34.28亿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+34.2%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300093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*ST金刚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124.03亿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+75.0%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603389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*ST亚振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63.55亿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186.38亿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+134.2%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000820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*ST节能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27.43亿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23.44亿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+6.2%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000796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ST凯撒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84.90亿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+26.5%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000889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ST中嘉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15.47亿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25.32亿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+63.6%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002047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*ST宝鹰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82.03亿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+137.3%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002693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*ST双成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33.76亿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44.61亿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+35.6%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300561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2025-065：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58.05亿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64.80亿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+9.1%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000908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摩根士丹利证券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-8.93亿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-70.77亿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+75.4%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600165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ST宁科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92.33亿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58.44亿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+15.4%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002157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 正邦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245.12亿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+11.5%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002086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*ST东洋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50.64亿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-0.8%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600671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ST目药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12.59亿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26.72亿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+97.1%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002713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*ST东易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109.54亿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+192.8%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000656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北京市中伦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130.63亿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-18.9%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002482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股东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73.89亿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-3.9%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600777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*ST新潮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301.26亿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333.90亿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+10.8%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002005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ST德豪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80.43亿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48.95亿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+2.1%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000007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*ST全新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19.75亿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18.02亿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-6.1%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000697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北京中伦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68.55亿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142.18亿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+21.3%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002742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*ST三圣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45.40亿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+8.0%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000504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南华生物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37.53亿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37.60亿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-11.4%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002313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*ST日海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2022-08-30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24.69亿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28.19亿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+16.2%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000637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ST实华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20.34亿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22.77亿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+9.6%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002800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ST天顺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18.21亿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17.94亿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600078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ST澄星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70.92亿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57.38亿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-16.1%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603001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ST奥康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23.38亿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19.46亿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-17.8%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603880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南卫股份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13.09亿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11.29亿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-14.0%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600518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康美药业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262.02亿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268.82亿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+2.7%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603117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ST万林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21.75亿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28.37亿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+31.8%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600666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ST瑞德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2023-08-30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25.34亿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45.35亿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-20.6%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600375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*ST汉马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102.36亿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+32.3%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603608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控股股东、实际控制人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12.69亿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21.64亿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+82.8%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000989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ST九芝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56.85亿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83.46亿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+43.3%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300536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*ST农尚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18.56亿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31.19亿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+66.7%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002197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北京国枫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2024-08-30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20.60亿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61.58亿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+196.0%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600228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*ST返利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19.45亿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26.38亿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+36.4%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603559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ST通脉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32.82亿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32.53亿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-0.6%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688646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逸飞激光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2025-08-30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29.68亿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71.42亿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+139.8%</w:t>
            </w:r>
          </w:p>
        </w:tc>
      </w:tr>
    </w:tbl>
    <w:p>
      <w:pPr>
        <w:pStyle w:val="Heading1"/>
      </w:pPr>
      <w:r>
        <w:rPr>
          <w:color w:val="1A5276"/>
        </w:rPr>
        <w:t>附录C：分维度判别力（均值差 + 单维AUC）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满分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退市组均值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摘帽组均值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差值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单维AUC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判读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C1 面值距离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4.07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4.90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+0.83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0.635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有效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C2 壳价值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3.78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4.17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+0.39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0.541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壳价值逻辑特殊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S1 实控人性质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3.00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3.00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无判别力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S2 股权质押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1.45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1.52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+0.07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0.511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无判别力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A1 净资产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6.92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6.43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-0.48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0.451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反向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A2 扣非主营收入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8.61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9.53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+0.93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0.546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弱有效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A3 扣非净利润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1.91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2.09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+0.18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0.529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弱有效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D1 现金流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1.54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1.60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+0.06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0.512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无判别力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B1 立案/造假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7.58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7.38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-0.20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0.505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无判别力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B2 审计意见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6.88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7.01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+0.13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0.515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无判别力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F2 重组纾困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1.03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2.14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+1.11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0.657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有效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F1 财务趋势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1.56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1.68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+0.12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0.527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弱有效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H1 司法风险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1.70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1.89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+0.20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0.524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弱有效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总分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48.4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49.2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+0.9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0.529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近随机</w:t>
            </w:r>
          </w:p>
        </w:tc>
      </w:tr>
    </w:tbl>
    <w:p>
      <w:r>
        <w:rPr>
          <w:b w:val="0"/>
        </w:rPr>
        <w:t>AUC=「退市组该维得分低于摘帽组」的概率（含0.5并列），0.5为随机线。S1恒为0.500是降级拉平的直接证据；A1反向源于大净资产标的多为并购/主动退市；F2/C1为体系最强领先指标。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