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*ST中设</w:t>
        <w:br/>
        <w:t>002883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 名 ｜ 摸鱼指数 69.5 ｜ V2保壳分 78 ｜ A级 ｜ 全榜第 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69.5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14.69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9.41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市县国资(无锡市国资委)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股权质押(6/6)、A1 净资产(8/10)、A2 扣非主营收入(12/12)、D1 现金流(4/4)、B1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A3 扣非净利润(0/6)、B2 审计意见(6/12)、F2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无锡国资兜底 + 营收达标(满分12) + 净资产充裕(8) + 壳价值低(8)。无重大立案链条(B1=10)，审计保留意见(6)提示瑕疵，正在走出售资产/债务豁免(2)保壳。A级全榜第2，是「国资壳+并购预期」的典型。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扣非持续亏损(A3=0)、保留意见待消除、*ST续亏则年报后承压；净资产仍偏薄。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跟读报告｜*ST中设（002883）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