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ST沈化</w:t>
        <w:br/>
        <w:t>000698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5 名 ｜ 摸鱼指数 64.5 ｜ V2保壳分 82 ｜ A级 ｜ 全榜第 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行情数据：榜单生成日（2026-08-30）收盘快照。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64.5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29.91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央企(国务院国资委)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面值距离(5/6)、S1 实控人性质(10/12)、S2 股权质押(6/6)、A1 净资产(10/10)、A2 扣非主营收入(12/12)、A3 扣非净利润(6/6)、B2 审计意见(12/12)、F1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壳价值锚定(4/8)、D1 现金流(2/4)、F2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全市场ST保壳分第一(82/A)：央企实控人满分(10) + 净资产(10) + 营收(12) + 扣非盈利(6) + 审计满分(12)，「最接近正常公司」的ST。因市值最大(29.91亿)壳便宜分被摊薄到47，摸鱼指数落至第5。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实控人：国务院国有资产监督管理委员会（央企）；无质押；扣非盈利；行政处罚落地(一般)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无重组预期(F2=0)、市值大弹性小、3.65元低价需防面值波动；B1=7一般档处罚。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数据时点：榜单2026-08-30生成（财务报告期20251231），行情为当日快照；此后如有重大公告（立案/重组/审计更换）需重新评估。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跟读报告｜ST沈化（000698）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