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2400"/></w:pPr></w:p><w:p><w:pPr><w:jc w:val="center"/></w:pPr><w:r><w:rPr><w:rFonts w:ascii="微软雅黑" w:cs="微软雅黑" w:eastAsia="微软雅黑" w:hAnsi="微软雅黑"/><w:b/><w:bCs/><w:color w:val="1F5FA8"/><w:sz w:val="52"/><w:szCs w:val="52"/></w:rPr><w:t xml:space="preserve">ST保壳评分系统 V2 重设计研究报告</w:t></w:r></w:p><w:p><w:pPr><w:spacing w:before="200"/><w:jc w:val="center"/></w:pPr><w:r><w:rPr><w:rFonts w:ascii="微软雅黑" w:cs="微软雅黑" w:eastAsia="微软雅黑" w:hAnsi="微软雅黑"/><w:color w:val="555555"/><w:sz w:val="30"/><w:szCs w:val="30"/></w:rPr><w:t xml:space="preserve">——基于近5年（2021-2026）A股退市案例实证</w:t></w:r></w:p><w:p><w:pPr><w:spacing w:before="600"/></w:pPr></w:p><w:p><w:pPr><w:jc w:val="center"/></w:pPr><w:r><w:rPr><w:rFonts w:ascii="微软雅黑" w:cs="微软雅黑" w:eastAsia="微软雅黑" w:hAnsi="微软雅黑"/><w:color w:val="666666"/><w:sz w:val="22"/><w:szCs w:val="22"/></w:rPr><w:t xml:space="preserve">呈报：老Z</w:t></w:r></w:p><w:p><w:pPr><w:jc w:val="center"/></w:pPr><w:r><w:rPr><w:rFonts w:ascii="微软雅黑" w:cs="微软雅黑" w:eastAsia="微软雅黑" w:hAnsi="微软雅黑"/><w:color w:val="666666"/><w:sz w:val="22"/><w:szCs w:val="22"/></w:rPr><w:t xml:space="preserve">编制：保壳风云榜研究组</w:t></w:r></w:p><w:p><w:pPr><w:jc w:val="center"/></w:pPr><w:r><w:rPr><w:rFonts w:ascii="微软雅黑" w:cs="微软雅黑" w:eastAsia="微软雅黑" w:hAnsi="微软雅黑"/><w:color w:val="666666"/><w:sz w:val="22"/><w:szCs w:val="22"/></w:rPr><w:t xml:space="preserve">日期：2026年8月28日</w:t></w:r></w:p><w:p><w:pPr><w:spacing w:before="800"/><w:jc w:val="center"/></w:pPr><w:r><w:rPr><w:rFonts w:ascii="微软雅黑" w:cs="微软雅黑" w:eastAsia="微软雅黑" w:hAnsi="微软雅黑"/><w:color w:val="999999"/><w:sz w:val="20"/><w:szCs w:val="20"/></w:rPr><w:t xml:space="preserve">配套交付：《ST保壳评分系统V1_V2重设计方案.xlsx》可编辑工作簿</w:t></w:r></w:p><w:r><w:br w:type="page"/></w:r><w:p><w:pPr><w:sectPr><w:pgSz w:w="11906" w:h="16838" w:orient="portrait"/><w:pgMar w:top="1440" w:right="1440" w:bottom="1440" w:left="1440" w:header="708" w:footer="708" w:gutter="0"/><w:pgNumType/><w:docGrid w:linePitch="360"/></w:sectPr></w:pPr></w:p><w:p><w:pPr><w:pStyle w:val="Heading1"/><w:spacing w:after="160" w:before="300"/></w:pPr><w:r><w:rPr><w:rFonts w:ascii="微软雅黑" w:cs="微软雅黑" w:eastAsia="微软雅黑" w:hAnsi="微软雅黑"/><w:b/><w:bCs/><w:color w:val="1F5FA8"/><w:sz w:val="32"/><w:szCs w:val="32"/></w:rPr><w:t xml:space="preserve">目 录</w:t></w:r></w:p><w:sdt><w:sdtPr><w:alias w:val="目录"/></w:sdtPr><w:sdtContent><w:p><w:r><w:fldChar w:fldCharType="begin" w:dirty="true"/><w:instrText xml:space="preserve">TOC \h \o &quot;1-2&quot;</w:instrText><w:fldChar w:fldCharType="separate"/></w:r></w:p><w:p><w:r><w:fldChar w:fldCharType="end"/></w:r></w:p></w:sdtContent></w:sdt><w:r><w:br w:type="page"/></w:r><w:p><w:pPr><w:sectPr><w:pgSz w:w="11906" w:h="16838" w:orient="portrait"/><w:pgMar w:top="1440" w:right="1440" w:bottom="1440" w:left="1440" w:header="708" w:footer="708" w:gutter="0"/><w:pgNumType/><w:docGrid w:linePitch="360"/></w:sectPr></w:pPr></w:p><w:p><w:pPr><w:pStyle w:val="Heading1"/><w:spacing w:after="160" w:before="300"/></w:pPr><w:r><w:rPr><w:rFonts w:ascii="微软雅黑" w:cs="微软雅黑" w:eastAsia="微软雅黑" w:hAnsi="微软雅黑"/><w:b/><w:bCs/><w:color w:val="1F5FA8"/><w:sz w:val="32"/><w:szCs w:val="32"/></w:rPr><w:t xml:space="preserve">一、研究背景与问题诊断</w:t></w:r></w:p><w:p><w:pPr><w:pStyle w:val="Heading2"/><w:spacing w:after="120" w:before="220"/></w:pPr><w:r><w:rPr><w:rFonts w:ascii="微软雅黑" w:cs="微软雅黑" w:eastAsia="微软雅黑" w:hAnsi="微软雅黑"/><w:b/><w:bCs/><w:color w:val="333333"/><w:sz w:val="26"/><w:szCs w:val="26"/></w:rPr><w:t xml:space="preserve">1.1 问题的提出</w:t></w:r></w:p><w:p><w:pPr><w:spacing w:after="60" w:before="60" w:line="320"/></w:pPr><w:r><w:rPr><w:rFonts w:ascii="微软雅黑" w:cs="微软雅黑" w:eastAsia="微软雅黑" w:hAnsi="微软雅黑"/><w:sz w:val="21"/><w:szCs w:val="21"/></w:rPr><w:t xml:space="preserve">老Z指出：ST保壳评分系统V1&quot;设了这么多维度，得分与退市风险比较失真&quot;。典型案例ST莫高（600543）：甘肃省国资旗下甘肃农垦为第一大股东，归母净资产7.07亿元、资产负债率仅27.9%、市值13.65亿元、股价4.25元，仅因主营业务收入2.04亿元未达3亿元主板红线，V1仅给53分（B级，全榜第171/209名）。</w:t></w:r></w:p><w:p><w:pPr><w:spacing w:after="60" w:before="60" w:line="320"/></w:pPr><w:r><w:rPr><w:rFonts w:ascii="微软雅黑" w:cs="微软雅黑" w:eastAsia="微软雅黑" w:hAnsi="微软雅黑"/><w:sz w:val="21"/><w:szCs w:val="21"/></w:rPr><w:t xml:space="preserve">但按&quot;壳价值+股东保壳能力&quot;逻辑：地方国企实控、净资产充裕、壳有承接价值，退市风险极低，15亿左右市值是很好的并购机会，&quot;得分应该很高&quot;。</w:t></w:r></w:p><w:p><w:pPr><w:spacing w:after="60" w:before="60" w:line="320"/></w:pPr><w:r><w:rPr><w:rFonts w:ascii="微软雅黑" w:cs="微软雅黑" w:eastAsia="微软雅黑" w:hAnsi="微软雅黑"/><w:sz w:val="21"/><w:szCs w:val="21"/></w:rPr><w:t xml:space="preserve">这一批评切中V1的根本缺陷：V1本质是&quot;财务健康度打分&quot;（类似信用评级的静态视角），而非&quot;退市概率评估&quot;（本系统的设计目标）。财务健康度与退市概率高度相关但并不等价——退市概率还取决于市场面（面值风险）、股东实力（保壳能力）与监管通道（造假红线）。</w:t></w:r></w:p><w:p><w:pPr><w:pStyle w:val="Heading2"/><w:spacing w:after="120" w:before="220"/></w:pPr><w:r><w:rPr><w:rFonts w:ascii="微软雅黑" w:cs="微软雅黑" w:eastAsia="微软雅黑" w:hAnsi="微软雅黑"/><w:b/><w:bCs/><w:color w:val="333333"/><w:sz w:val="26"/><w:szCs w:val="26"/></w:rPr><w:t xml:space="preserve">1.2 ST莫高 V1评分明细（失真定位）</w:t></w:r></w:p><w:tbl><w:tblPr><w:tblW w:type="pct" w:w="100%"/><w:tblBorders><w:top w:val="single" w:color="B0B0B0" w:sz="4"/><w:left w:val="single" w:color="B0B0B0" w:sz="4"/><w:bottom w:val="single" w:color="B0B0B0" w:sz="4"/><w:right w:val="single" w:color="B0B0B0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pct" w:w="14.000000000000002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维度</w:t></w:r></w:p></w:tc><w:tc><w:tcPr><w:tcW w:type="pct" w:w="10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V1分值</w:t></w:r></w:p></w:tc><w:tc><w:tcPr><w:tcW w:type="pct" w:w="22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莫高实际状况</w:t></w:r></w:p></w:tc><w:tc><w:tcPr><w:tcW w:type="pct" w:w="54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失真分析</w:t></w:r></w:p></w:tc></w:tr><w:tr><w:tc><w:tcPr><w:tcW w:type="pct" w:w="14.000000000000002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A2 营收</w:t></w:r></w:p></w:tc><w:tc><w:tcPr><w:tcW w:type="pct" w:w="10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2/12</w:t></w:r></w:p></w:tc><w:tc><w:tcPr><w:tcW w:type="pct" w:w="22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营收2.04亿，缺口32%</w:t></w:r></w:p></w:tc><w:tc><w:tcPr><w:tcW w:type="pct" w:w="54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&quot;一刀切&quot;未达标重扣；忽略第一年触线仅有18个月整改窗口+国资达标手段</w:t></w:r></w:p></w:tc></w:tr><w:tr><w:tc><w:tcPr><w:tcW w:type="pct" w:w="14.000000000000002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C2 市值</w:t></w:r></w:p></w:tc><w:tc><w:tcPr><w:tcW w:type="pct" w:w="10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2/4</w:t></w:r></w:p></w:tc><w:tc><w:tcPr><w:tcW w:type="pct" w:w="22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市值13.65亿</w:t></w:r></w:p></w:tc><w:tc><w:tcPr><w:tcW w:type="pct" w:w="54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档位按&quot;≥30亿满分&quot;，未体现壳价值逻辑</w:t></w:r></w:p></w:tc></w:tr><w:tr><w:tc><w:tcPr><w:tcW w:type="pct" w:w="14.000000000000002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D1 现金流</w:t></w:r></w:p></w:tc><w:tc><w:tcPr><w:tcW w:type="pct" w:w="10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0/10</w:t></w:r></w:p></w:tc><w:tc><w:tcPr><w:tcW w:type="pct" w:w="22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OCF -1.13亿</w:t></w:r></w:p></w:tc><w:tc><w:tcPr><w:tcW w:type="pct" w:w="54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权重10分过重，但现金流差不触发任何退市指标</w:t></w:r></w:p></w:tc></w:tr><w:tr><w:tc><w:tcPr><w:tcW w:type="pct" w:w="14.000000000000002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F2 纾困</w:t></w:r></w:p></w:tc><w:tc><w:tcPr><w:tcW w:type="pct" w:w="10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0/7</w:t></w:r></w:p></w:tc><w:tc><w:tcPr><w:tcW w:type="pct" w:w="22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无公告动作</w:t></w:r></w:p></w:tc><w:tc><w:tcPr><w:tcW w:type="pct" w:w="54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只认公告动作，不认股东实力（国企不必然公告纾困）</w:t></w:r></w:p></w:tc></w:tr><w:tr><w:tc><w:tcPr><w:tcW w:type="pct" w:w="14.000000000000002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G1 市值偏离</w:t></w:r></w:p></w:tc><w:tc><w:tcPr><w:tcW w:type="pct" w:w="10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5/5</w:t></w:r></w:p></w:tc><w:tc><w:tcPr><w:tcW w:type="pct" w:w="22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市值&lt;净资产锚</w:t></w:r></w:p></w:tc><w:tc><w:tcPr><w:tcW w:type="pct" w:w="54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小市值反而满分，与壳价值逻辑自相矛盾</w:t></w:r></w:p></w:tc></w:tr><w:tr><w:tc><w:tcPr><w:tcW w:type="pct" w:w="14.000000000000002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（缺）实控人性质</w:t></w:r></w:p></w:tc><w:tc><w:tcPr><w:tcW w:type="pct" w:w="10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—</w:t></w:r></w:p></w:tc><w:tc><w:tcPr><w:tcW w:type="pct" w:w="22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甘肃农垦28%持股</w:t></w:r></w:p></w:tc><w:tc><w:tcPr><w:tcW w:type="pct" w:w="54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V1完全缺失最重要的调节变量</w:t></w:r></w:p></w:tc></w:tr></w:tbl><w:p><w:pPr><w:spacing w:after="60" w:before="60" w:line="320"/></w:pPr><w:r><w:rPr><w:rFonts w:ascii="微软雅黑" w:cs="微软雅黑" w:eastAsia="微软雅黑" w:hAnsi="微软雅黑"/><w:sz w:val="21"/><w:szCs w:val="21"/></w:rPr><w:t xml:space="preserve"></w:t></w:r></w:p><w:tbl><w:tblPr><w:tblW w:type="pct" w:w="100%"/><w:tblBorders><w:top w:val="single" w:color="B0B0B0" w:sz="4"/><w:left w:val="single" w:color="B0B0B0" w:sz="4"/><w:bottom w:val="single" w:color="B0B0B0" w:sz="4"/><w:right w:val="single" w:color="B0B0B0" w:sz="4"/><w:insideH w:val="single" w:color="auto" w:sz="4"/><w:insideV w:val="single" w:color="auto" w:sz="4"/></w:tblBorders></w:tblPr><w:tblGrid><w:gridCol w:w="100"/></w:tblGrid><w:tr><w:tc><w:tcPr><w:shd w:fill="FCE4E4" w:val="clear"/><w:tcMar><w:top w:type="dxa" w:w="120"/><w:left w:type="dxa" w:w="200"/><w:bottom w:type="dxa" w:w="120"/><w:right w:type="dxa" w:w="200"/></w:tcMar></w:tcPr><w:p><w:r><w:rPr><w:rFonts w:ascii="微软雅黑" w:cs="微软雅黑" w:eastAsia="微软雅黑" w:hAnsi="微软雅黑"/><w:b/><w:bCs/><w:color w:val="C00000"/><w:sz w:val="22"/><w:szCs w:val="22"/></w:rPr><w:t xml:space="preserve">⚠ 核心诊断</w:t></w:r></w:p><w:p><w:pPr><w:spacing w:before="60"/></w:pPr><w:r><w:rPr><w:rFonts w:ascii="微软雅黑" w:cs="微软雅黑" w:eastAsia="微软雅黑" w:hAnsi="微软雅黑"/><w:sz w:val="21"/><w:szCs w:val="21"/></w:rPr><w:t xml:space="preserve">V1缺失&quot;实控人性质与保壳能力&quot;维度，且A2/D1/F2/G1四个维度的计分逻辑与&quot;退市概率&quot;脱钩。这不是调权重的问题，而是需要按&quot;退市通道贡献度&quot;重构整个评分框架。</w:t></w:r></w:p></w:tc></w:tr></w:tbl><w:p><w:pPr><w:pStyle w:val="Heading1"/><w:spacing w:after="160" w:before="300"/></w:pPr><w:r><w:rPr><w:rFonts w:ascii="微软雅黑" w:cs="微软雅黑" w:eastAsia="微软雅黑" w:hAnsi="微软雅黑"/><w:b/><w:bCs/><w:color w:val="1F5FA8"/><w:sz w:val="32"/><w:szCs w:val="32"/></w:rPr><w:t xml:space="preserve">二、近5年退市案例实证分析</w:t></w:r></w:p><w:p><w:pPr><w:pStyle w:val="Heading2"/><w:spacing w:after="120" w:before="220"/></w:pPr><w:r><w:rPr><w:rFonts w:ascii="微软雅黑" w:cs="微软雅黑" w:eastAsia="微软雅黑" w:hAnsi="微软雅黑"/><w:b/><w:bCs/><w:color w:val="333333"/><w:sz w:val="26"/><w:szCs w:val="26"/></w:rPr><w:t xml:space="preserve">2.1 数据来源与方法</w:t></w:r></w:p><0/><w:p><w:pPr><w:pStyle w:val="Heading2"/><w:spacing w:after="120" w:before="220"/></w:pPr><w:r><w:rPr><w:rFonts w:ascii="微软雅黑" w:cs="微软雅黑" w:eastAsia="微软雅黑" w:hAnsi="微软雅黑"/><w:b/><w:bCs/><w:color w:val="333333"/><w:sz w:val="26"/><w:szCs w:val="26"/></w:rPr><w:t xml:space="preserve">2.2 退市类型分布（2021-2025年度）</w:t></w:r></w:p><w:tbl><w:tblPr><w:tblW w:type="pct" w:w="100%"/><w:tblBorders><w:top w:val="single" w:color="B0B0B0" w:sz="4"/><w:left w:val="single" w:color="B0B0B0" w:sz="4"/><w:bottom w:val="single" w:color="B0B0B0" w:sz="4"/><w:right w:val="single" w:color="B0B0B0" w:sz="4"/><w:insideH w:val="single" w:color="auto" w:sz="4"/><w:insideV w:val="single" w:color="auto" w:sz="4"/></w:tblBorders></w:tblPr><w:tblGrid><w:gridCol w:w="100"/><w:gridCol w:w="100"/><w:gridCol w:w="100"/><w:gridCol w:w="100"/><w:gridCol w:w="100"/><w:gridCol w:w="100"/><w:gridCol w:w="100"/></w:tblGrid><w:tr><w:trPr><w:tblHeader/></w:trPr><w:tc><w:tcPr><w:tcW w:type="pct" w:w="11.363636363636363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年份</w:t></w:r></w:p></w:tc><w:tc><w:tcPr><w:tcW w:type="pct" w:w="13.636363636363635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总数</w:t></w:r></w:p></w:tc><w:tc><w:tcPr><w:tcW w:type="pct" w:w="17.045454545454543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交易类(面值)</w:t></w:r></w:p></w:tc><w:tc><w:tcPr><w:tcW w:type="pct" w:w="13.636363636363635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财务类</w:t></w:r></w:p></w:tc><w:tc><w:tcPr><w:tcW w:type="pct" w:w="13.636363636363635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规范类</w:t></w:r></w:p></w:tc><w:tc><w:tcPr><w:tcW w:type="pct" w:w="13.636363636363635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重大违法</w:t></w:r></w:p></w:tc><w:tc><w:tcPr><w:tcW w:type="pct" w:w="17.045454545454543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主动/合并等</w:t></w:r></w:p></w:tc></w:tr><w:tr><w:tc><w:tcPr><w:tcW w:type="pct" w:w="11.363636363636363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2021</w:t></w:r></w:p></w:tc><w:tc><w:tcPr><w:tcW w:type="pct" w:w="13.636363636363635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20</w:t></w:r></w:p></w:tc><w:tc><w:tcPr><w:tcW w:type="pct" w:w="17.045454545454543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6</w:t></w:r></w:p></w:tc><w:tc><w:tcPr><w:tcW w:type="pct" w:w="13.636363636363635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5~6</w:t></w:r></w:p></w:tc><w:tc><w:tcPr><w:tcW w:type="pct" w:w="13.636363636363635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0~7</w:t></w:r></w:p></w:tc><w:tc><w:tcPr><w:tcW w:type="pct" w:w="13.636363636363635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0</w:t></w:r></w:p></w:tc><w:tc><w:tcPr><w:tcW w:type="pct" w:w="17.045454545454543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9</w:t></w:r></w:p></w:tc></w:tr><w:tr><w:tc><w:tcPr><w:tcW w:type="pct" w:w="11.363636363636363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2022</w:t></w:r></w:p></w:tc><w:tc><w:tcPr><w:tcW w:type="pct" w:w="13.636363636363635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43~46</w:t></w:r></w:p></w:tc><w:tc><w:tcPr><w:tcW w:type="pct" w:w="17.045454545454543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2</w:t></w:r></w:p></w:tc><w:tc><w:tcPr><w:tcW w:type="pct" w:w="13.636363636363635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21~41</w:t></w:r></w:p></w:tc><w:tc><w:tcPr><w:tcW w:type="pct" w:w="13.636363636363635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8</w:t></w:r></w:p></w:tc><w:tc><w:tcPr><w:tcW w:type="pct" w:w="13.636363636363635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0</w:t></w:r></w:p></w:tc><w:tc><w:tcPr><w:tcW w:type="pct" w:w="17.045454545454543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15</w:t></w:r></w:p></w:tc></w:tr><w:tr><w:tc><w:tcPr><w:tcW w:type="pct" w:w="11.363636363636363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2023</w:t></w:r></w:p></w:tc><w:tc><w:tcPr><w:tcW w:type="pct" w:w="13.636363636363635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45</w:t></w:r></w:p></w:tc><w:tc><w:tcPr><w:tcW w:type="pct" w:w="17.045454545454543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19~20</w:t></w:r></w:p></w:tc><w:tc><w:tcPr><w:tcW w:type="pct" w:w="13.636363636363635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10~21</w:t></w:r></w:p></w:tc><w:tc><w:tcPr><w:tcW w:type="pct" w:w="13.636363636363635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1~9</w:t></w:r></w:p></w:tc><w:tc><w:tcPr><w:tcW w:type="pct" w:w="13.636363636363635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2</w:t></w:r></w:p></w:tc><w:tc><w:tcPr><w:tcW w:type="pct" w:w="17.045454545454543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15</w:t></w:r></w:p></w:tc></w:tr><w:tr><w:tc><w:tcPr><w:tcW w:type="pct" w:w="11.363636363636363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2024</w:t></w:r></w:p></w:tc><w:tc><w:tcPr><w:tcW w:type="pct" w:w="13.636363636363635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52~55</w:t></w:r></w:p></w:tc><w:tc><w:tcPr><w:tcW w:type="pct" w:w="17.045454545454543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39~41</w:t></w:r></w:p></w:tc><w:tc><w:tcPr><w:tcW w:type="pct" w:w="13.636363636363635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6~7</w:t></w:r></w:p></w:tc><w:tc><w:tcPr><w:tcW w:type="pct" w:w="13.636363636363635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1~8</w:t></w:r></w:p></w:tc><w:tc><w:tcPr><w:tcW w:type="pct" w:w="13.636363636363635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1</w:t></w:r></w:p></w:tc><w:tc><w:tcPr><w:tcW w:type="pct" w:w="17.045454545454543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4</w:t></w:r></w:p></w:tc></w:tr><w:tr><w:tc><w:tcPr><w:tcW w:type="pct" w:w="11.363636363636363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2025</w:t></w:r></w:p></w:tc><w:tc><w:tcPr><w:tcW w:type="pct" w:w="13.636363636363635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29~32</w:t></w:r></w:p></w:tc><w:tc><w:tcPr><w:tcW w:type="pct" w:w="17.045454545454543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11</w:t></w:r></w:p></w:tc><w:tc><w:tcPr><w:tcW w:type="pct" w:w="13.636363636363635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2~9</w:t></w:r></w:p></w:tc><w:tc><w:tcPr><w:tcW w:type="pct" w:w="13.636363636363635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1~7</w:t></w:r></w:p></w:tc><w:tc><w:tcPr><w:tcW w:type="pct" w:w="13.636363636363635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4~10</w:t></w:r></w:p></w:tc><w:tc><w:tcPr><w:tcW w:type="pct" w:w="17.045454545454543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5~6</w:t></w:r></w:p></w:tc></w:tr><w:tr><w:tc><w:tcPr><w:tcW w:type="pct" w:w="11.363636363636363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合计</w:t></w:r></w:p></w:tc><w:tc><w:tcPr><w:tcW w:type="pct" w:w="13.636363636363635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≈190</w:t></w:r></w:p></w:tc><w:tc><w:tcPr><w:tcW w:type="pct" w:w="17.045454545454543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77~80</w:t></w:r></w:p></w:tc><w:tc><w:tcPr><w:tcW w:type="pct" w:w="13.636363636363635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44~84</w:t></w:r></w:p></w:tc><w:tc><w:tcPr><w:tcW w:type="pct" w:w="13.636363636363635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11~31</w:t></w:r></w:p></w:tc><w:tc><w:tcPr><w:tcW w:type="pct" w:w="13.636363636363635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7~13</w:t></w:r></w:p></w:tc><w:tc><w:tcPr><w:tcW w:type="pct" w:w="17.045454545454543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≈48</w:t></w:r></w:p></w:tc></w:tr></w:tbl><w:p><w:pPr><w:spacing w:after="60" w:before="60" w:line="320"/></w:pPr><w:r><w:rPr><w:rFonts w:ascii="微软雅黑" w:cs="微软雅黑" w:eastAsia="微软雅黑" w:hAnsi="微软雅黑"/><w:sz w:val="21"/><w:szCs w:val="21"/></w:rPr><w:t xml:space="preserve">注：各来源对&quot;财务类&quot;口径有差异（是否含叠加触发情形），取区间值。剔除主动退市/吸收合并（与风险无关）后，强制退市约140家的结构为：交易类≈55%、财务类≈32%、规范类≈8%、重大违法≈5-9%。</w:t></w:r></w:p><w:p><w:pPr><w:pStyle w:val="Heading2"/><w:spacing w:after="120" w:before="220"/></w:pPr><w:r><w:rPr><w:rFonts w:ascii="微软雅黑" w:cs="微软雅黑" w:eastAsia="微软雅黑" w:hAnsi="微软雅黑"/><w:b/><w:bCs/><w:color w:val="333333"/><w:sz w:val="26"/><w:szCs w:val="26"/></w:rPr><w:t xml:space="preserve">2.3 退市核心因素识别</w:t></w:r></w:p><w:tbl><w:tblPr><w:tblW w:type="pct" w:w="100%"/><w:tblBorders><w:top w:val="single" w:color="B0B0B0" w:sz="4"/><w:left w:val="single" w:color="B0B0B0" w:sz="4"/><w:bottom w:val="single" w:color="B0B0B0" w:sz="4"/><w:right w:val="single" w:color="B0B0B0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pct" w:w="17.02127659574468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因素</w:t></w:r></w:p></w:tc><w:tc><w:tcPr><w:tcW w:type="pct" w:w="12.76595744680851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定性</w:t></w:r></w:p></w:tc><w:tc><w:tcPr><w:tcW w:type="pct" w:w="40.42553191489361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实证依据</w:t></w:r></w:p></w:tc><w:tc><w:tcPr><w:tcW w:type="pct" w:w="29.78723404255319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V2处理</w:t></w:r></w:p></w:tc></w:tr><w:tr><w:tc><w:tcPr><w:tcW w:type="pct" w:w="17.02127659574468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股价跌破面值</w:t></w:r></w:p></w:tc><w:tc><w:tcPr><w:tcW w:type="pct" w:w="12.76595744680851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核心(第一)</w:t></w:r></w:p></w:tc><w:tc><w:tcPr><w:tcW w:type="pct" w:w="40.42553191489361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交易类退市≈55%，连续20日&lt;1元不可逆、无整改机会</w:t></w:r></w:p></w:tc><w:tc><w:tcPr><w:tcW w:type="pct" w:w="29.78723404255319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C1面值距离6分(老Z定稿)+C2壳价值8分对冲</w:t></w:r></w:p></w:tc></w:tr><w:tr><w:tc><w:tcPr><w:tcW w:type="pct" w:w="17.02127659574468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扣非营收组合缺口</w:t></w:r></w:p></w:tc><w:tc><w:tcPr><w:tcW w:type="pct" w:w="12.76595744680851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核心(第二)</w:t></w:r></w:p></w:tc><w:tc><w:tcPr><w:tcW w:type="pct" w:w="40.42553191489361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财务类≈32%的主触发指标；连续两年才退市，第一年有整改窗口</w:t></w:r></w:p></w:tc><w:tc><w:tcPr><w:tcW w:type="pct" w:w="29.78723404255319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A2扣非主营业务收入12分(老Z改口径)</w:t></w:r></w:p></w:tc></w:tr><w:tr><w:tc><w:tcPr><w:tcW w:type="pct" w:w="17.02127659574468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净资产为负</w:t></w:r></w:p></w:tc><w:tc><w:tcPr><w:tcW w:type="pct" w:w="12.76595744680851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核心</w:t></w:r></w:p></w:tc><w:tc><w:tcPr><w:tcW w:type="pct" w:w="40.42553191489361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财务类硬红线，资不抵债连续两年退市</w:t></w:r></w:p></w:tc><w:tc><w:tcPr><w:tcW w:type="pct" w:w="29.78723404255319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A1净资产10分</w:t></w:r></w:p></w:tc></w:tr><w:tr><w:tc><w:tcPr><w:tcW w:type="pct" w:w="17.02127659574468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审计非标/内控否定</w:t></w:r></w:p></w:tc><w:tc><w:tcPr><w:tcW w:type="pct" w:w="12.76595744680851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核心(通道)</w:t></w:r></w:p></w:tc><w:tc><w:tcPr><w:tcW w:type="pct" w:w="40.42553191489361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规范类退市直接触发(退市熊猫)，几乎所有财务类退市伴生</w:t></w:r></w:p></w:tc><w:tc><w:tcPr><w:tcW w:type="pct" w:w="29.78723404255319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B2审计意见12分(老Z定稿)</w:t></w:r></w:p></w:tc></w:tr><w:tr><w:tc><w:tcPr><w:tcW w:type="pct" w:w="17.02127659574468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重大违法(造假)</w:t></w:r></w:p></w:tc><w:tc><w:tcPr><w:tcW w:type="pct" w:w="12.76595744680851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核心(独立)</w:t></w:r></w:p></w:tc><w:tc><w:tcPr><w:tcW w:type="pct" w:w="40.42553191489361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2025年造假退市创新高(锦州港/卓朗/普利等10家)，零容忍</w:t></w:r></w:p></w:tc><w:tc><w:tcPr><w:tcW w:type="pct" w:w="29.78723404255319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B1立案造假10分</w:t></w:r></w:p></w:tc></w:tr><w:tr><w:tc><w:tcPr><w:tcW w:type="pct" w:w="17.02127659574468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实控人性质(国资)</w:t></w:r></w:p></w:tc><w:tc><w:tcPr><w:tcW w:type="pct" w:w="12.76595744680851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强调节变量</w:t></w:r></w:p></w:tc><w:tc><w:tcPr><w:tcW w:type="pct" w:w="40.42553191489361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国资退市占比&lt;8%，但2024后&quot;应退则退&quot;非免死金牌</w:t></w:r></w:p></w:tc><w:tc><w:tcPr><w:tcW w:type="pct" w:w="29.78723404255319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S1实控人性质12分(新增)</w:t></w:r></w:p></w:tc></w:tr><w:tr><w:tc><w:tcPr><w:tcW w:type="pct" w:w="17.02127659574468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质押爆仓/控制权真空</w:t></w:r></w:p></w:tc><w:tc><w:tcPr><w:tcW w:type="pct" w:w="12.76595744680851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重要(传导)</w:t></w:r></w:p></w:tc><w:tc><w:tcPr><w:tcW w:type="pct" w:w="40.42553191489361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面值退市民企几乎全员质押问题</w:t></w:r></w:p></w:tc><w:tc><w:tcPr><w:tcW w:type="pct" w:w="29.78723404255319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S2股权质押6分</w:t></w:r></w:p></w:tc></w:tr><w:tr><w:tc><w:tcPr><w:tcW w:type="pct" w:w="17.02127659574468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壳价值(市值承接)</w:t></w:r></w:p></w:tc><w:tc><w:tcPr><w:tcW w:type="pct" w:w="12.76595744680851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重要</w:t></w:r></w:p></w:tc><w:tc><w:tcPr><w:tcW w:type="pct" w:w="40.42553191489361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退市公司退市前市值中位数&lt;10亿；壳有人要则不会破面值</w:t></w:r></w:p></w:tc><w:tc><w:tcPr><w:tcW w:type="pct" w:w="29.78723404255319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C2壳价值锚定8分(老Z反转：越低于壳价值分越高)</w:t></w:r></w:p></w:tc></w:tr><w:tr><w:tc><w:tcPr><w:tcW w:type="pct" w:w="17.02127659574468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重整/纾困进度</w:t></w:r></w:p></w:tc><w:tc><w:tcPr><w:tcW w:type="pct" w:w="12.76595744680851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重要(反转)</w:t></w:r></w:p></w:tc><w:tc><w:tcPr><w:tcW w:type="pct" w:w="40.42553191489361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重整执行期公司几乎零退市(典型反转路径)</w:t></w:r></w:p></w:tc><w:tc><w:tcPr><w:tcW w:type="pct" w:w="29.78723404255319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F2重组纾困6分(老Z定稿)</w:t></w:r></w:p></w:tc></w:tr><w:tr><w:tc><w:tcPr><w:tcW w:type="pct" w:w="17.02127659574468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经营现金流</w:t></w:r></w:p></w:tc><w:tc><w:tcPr><w:tcW w:type="pct" w:w="12.76595744680851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次要</w:t></w:r></w:p></w:tc><w:tc><w:tcPr><w:tcW w:type="pct" w:w="40.42553191489361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不触发退市指标，仅影响审计关注与戴帽</w:t></w:r></w:p></w:tc><w:tc><w:tcPr><w:tcW w:type="pct" w:w="29.78723404255319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D1降权10→4分</w:t></w:r></w:p></w:tc></w:tr><w:tr><w:tc><w:tcPr><w:tcW w:type="pct" w:w="17.02127659574468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实控人司法风险</w:t></w:r></w:p></w:tc><w:tc><w:tcPr><w:tcW w:type="pct" w:w="12.76595744680851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次要(传导)</w:t></w:r></w:p></w:tc><w:tc><w:tcPr><w:tcW w:type="pct" w:w="40.42553191489361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岩石股份实控人刑拘仍拖2年才退；本身不退市</w:t></w:r></w:p></w:tc><w:tc><w:tcPr><w:tcW w:type="pct" w:w="29.78723404255319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H1降权8→4分</w:t></w:r></w:p></w:tc></w:tr><w:tr><w:tc><w:tcPr><w:tcW w:type="pct" w:w="17.02127659574468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市值偏离净资产</w:t></w:r></w:p></w:tc><w:tc><w:tcPr><w:tcW w:type="pct" w:w="12.76595744680851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次要</w:t></w:r></w:p></w:tc><w:tc><w:tcPr><w:tcW w:type="pct" w:w="40.42553191489361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与退市通道无直接对应</w:t></w:r></w:p></w:tc><w:tc><w:tcPr><w:tcW w:type="pct" w:w="29.78723404255319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删除G1(并入C2)</w:t></w:r></w:p></w:tc></w:tr><w:tr><w:tc><w:tcPr><w:tcW w:type="pct" w:w="17.02127659574468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持续经营(复合)</w:t></w:r></w:p></w:tc><w:tc><w:tcPr><w:tcW w:type="pct" w:w="12.76595744680851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次要</w:t></w:r></w:p></w:tc><w:tc><w:tcPr><w:tcW w:type="pct" w:w="40.42553191489361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与A组重复计分</w:t></w:r></w:p></w:tc><w:tc><w:tcPr><w:tcW w:type="pct" w:w="29.78723404255319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F1降权9→4分</w:t></w:r></w:p></w:tc></w:tr></w:tbl><w:p><w:pPr><w:pStyle w:val="Heading2"/><w:spacing w:after="120" w:before="220"/></w:pPr><w:r><w:rPr><w:rFonts w:ascii="微软雅黑" w:cs="微软雅黑" w:eastAsia="微软雅黑" w:hAnsi="微软雅黑"/><w:b/><w:bCs/><w:color w:val="333333"/><w:sz w:val="26"/><w:szCs w:val="26"/></w:rPr><w:t xml:space="preserve">2.4 国资背景退市专题：&quot;国企≠免死金牌&quot;</w:t></w:r></w:p><w:p><w:pPr><w:spacing w:after="60" w:before="60" w:line="320"/></w:pPr><w:r><w:rPr><w:rFonts w:ascii="微软雅黑" w:cs="微软雅黑" w:eastAsia="微软雅黑" w:hAnsi="微软雅黑"/><w:sz w:val="21"/><w:szCs w:val="21"/></w:rPr><w:t xml:space="preserve">老Z的观察&quot;国企是实控第一大股东退市的案例非常少&quot;总体成立：近5年强制退市约140家中，国资背景不足12家（&lt;8%），且多数集中在2024年&quot;新国九条&quot;之后。但2024-2026年出现标志性拐点案例，必须修正&quot;国企=免死金牌&quot;的刚性认知：</w:t></w:r></w:p><w:tbl><w:tblPr><w:tblW w:type="pct" w:w="100%"/><w:tblBorders><w:top w:val="single" w:color="B0B0B0" w:sz="4"/><w:left w:val="single" w:color="B0B0B0" w:sz="4"/><w:bottom w:val="single" w:color="B0B0B0" w:sz="4"/><w:right w:val="single" w:color="B0B0B0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rPr><w:tblHeader/></w:trPr><w:tc><w:tcPr><w:tcW w:type="pct" w:w="15.463917525773196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公司</w:t></w:r></w:p></w:tc><w:tc><w:tcPr><w:tcW w:type="pct" w:w="15.463917525773196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实控人</w:t></w:r></w:p></w:tc><w:tc><w:tcPr><w:tcW w:type="pct" w:w="9.278350515463918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退市</w:t></w:r></w:p></w:tc><w:tc><w:tcPr><w:tcW w:type="pct" w:w="30.927835051546392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类型/原因</w:t></w:r></w:p></w:tc><w:tc><w:tcPr><w:tcW w:type="pct" w:w="28.865979381443296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启示</w:t></w:r></w:p></w:tc></w:tr><w:tr><w:tc><w:tcPr><w:tcW w:type="pct" w:w="15.463917525773196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退市国化(600636)</w:t></w:r></w:p></w:tc><w:tc><w:tcPr><w:tcW w:type="pct" w:w="15.463917525773196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国务院国资委(中国国新)</w:t></w:r></w:p></w:tc><w:tc><w:tcPr><w:tcW w:type="pct" w:w="9.278350515463918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2026.6</w:t></w:r></w:p></w:tc><w:tc><w:tcPr><w:tcW w:type="pct" w:w="30.927835051546392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财务类：营收2.96亿差400万未达标+收入真实性存疑+内控否定</w:t></w:r></w:p></w:tc><w:tc><w:tcPr><w:tcW w:type="pct" w:w="28.865979381443296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央企营收差一点也没保——&quot;应退则退&quot;</w:t></w:r></w:p></w:tc></w:tr><w:tr><w:tc><w:tcPr><w:tcW w:type="pct" w:w="15.463917525773196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退市同达(600647)</w:t></w:r></w:p></w:tc><w:tc><w:tcPr><w:tcW w:type="pct" w:w="15.463917525773196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国务院国资委(信达资产)</w:t></w:r></w:p></w:tc><w:tc><w:tcPr><w:tcW w:type="pct" w:w="9.278350515463918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2024.6</w:t></w:r></w:p></w:tc><w:tc><w:tcPr><w:tcW w:type="pct" w:w="30.927835051546392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交易类：A股首只央企面值退市，主营停滞</w:t></w:r></w:p></w:tc><w:tc><w:tcPr><w:tcW w:type="pct" w:w="28.865979381443296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央企壳若空心+无人接盘照样破面值</w:t></w:r></w:p></w:tc></w:tr><w:tr><w:tc><w:tcPr><w:tcW w:type="pct" w:w="15.463917525773196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退市中航产融</w:t></w:r></w:p></w:tc><w:tc><w:tcPr><w:tcW w:type="pct" w:w="15.463917525773196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中航工业(央企)</w:t></w:r></w:p></w:tc><w:tc><w:tcPr><w:tcW w:type="pct" w:w="9.278350515463918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2025.3</w:t></w:r></w:p></w:tc><w:tc><w:tcPr><w:tcW w:type="pct" w:w="30.927835051546392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主动退市：信托坏账风险隔离</w:t></w:r></w:p></w:tc><w:tc><w:tcPr><w:tcW w:type="pct" w:w="28.865979381443296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国资主动切割，不硬保</w:t></w:r></w:p></w:tc></w:tr><w:tr><w:tc><w:tcPr><w:tcW w:type="pct" w:w="15.463917525773196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退市经纬纺机</w:t></w:r></w:p></w:tc><w:tc><w:tcPr><w:tcW w:type="pct" w:w="15.463917525773196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恒天集团(央企)</w:t></w:r></w:p></w:tc><w:tc><w:tcPr><w:tcW w:type="pct" w:w="9.278350515463918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2023</w:t></w:r></w:p></w:tc><w:tc><w:tcPr><w:tcW w:type="pct" w:w="30.927835051546392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主动退市：中融信托暴雷隔离</w:t></w:r></w:p></w:tc><w:tc><w:tcPr><w:tcW w:type="pct" w:w="28.865979381443296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同上</w:t></w:r></w:p></w:tc></w:tr><w:tr><w:tc><w:tcPr><w:tcW w:type="pct" w:w="15.463917525773196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退市凯马B/建车B</w:t></w:r></w:p></w:tc><w:tc><w:tcPr><w:tcW w:type="pct" w:w="15.463917525773196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国机/长安集团(央企)</w:t></w:r></w:p></w:tc><w:tc><w:tcPr><w:tcW w:type="pct" w:w="9.278350515463918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2024</w:t></w:r></w:p></w:tc><w:tc><w:tcPr><w:tcW w:type="pct" w:w="30.927835051546392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交易类：B股面值退市</w:t></w:r></w:p></w:tc><w:tc><w:tcPr><w:tcW w:type="pct" w:w="28.865979381443296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B股流动性折价，央企也难托</w:t></w:r></w:p></w:tc></w:tr><w:tr><w:tc><w:tcPr><w:tcW w:type="pct" w:w="15.463917525773196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退市中程(300208)</w:t></w:r></w:p></w:tc><w:tc><w:tcPr><w:tcW w:type="pct" w:w="15.463917525773196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青岛国资(地方)</w:t></w:r></w:p></w:tc><w:tc><w:tcPr><w:tcW w:type="pct" w:w="9.278350515463918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2024</w:t></w:r></w:p></w:tc><w:tc><w:tcPr><w:tcW w:type="pct" w:w="30.927835051546392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重大违法+财务</w:t></w:r></w:p></w:tc><w:tc><w:tcPr><w:tcW w:type="pct" w:w="28.865979381443296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地方国资涉造假→应退则退</w:t></w:r></w:p></w:tc></w:tr></w:tbl><w:p><w:pPr><w:spacing w:after="60" w:before="60" w:line="320"/></w:pPr><w:r><w:rPr><w:rFonts w:ascii="微软雅黑" w:cs="微软雅黑" w:eastAsia="微软雅黑" w:hAnsi="微软雅黑"/><w:sz w:val="21"/><w:szCs w:val="21"/></w:rPr><w:t xml:space="preserve"></w:t></w:r></w:p><w:tbl><w:tblPr><w:tblW w:type="pct" w:w="100%"/><w:tblBorders><w:top w:val="single" w:color="B0B0B0" w:sz="4"/><w:left w:val="single" w:color="B0B0B0" w:sz="4"/><w:bottom w:val="single" w:color="B0B0B0" w:sz="4"/><w:right w:val="single" w:color="B0B0B0" w:sz="4"/><w:insideH w:val="single" w:color="auto" w:sz="4"/><w:insideV w:val="single" w:color="auto" w:sz="4"/></w:tblBorders></w:tblPr><w:tblGrid><w:gridCol w:w="100"/></w:tblGrid><w:tr><w:tc><w:tcPr><w:shd w:fill="FCE4E4" w:val="clear"/><w:tcMar><w:top w:type="dxa" w:w="120"/><w:left w:type="dxa" w:w="200"/><w:bottom w:type="dxa" w:w="120"/><w:right w:type="dxa" w:w="200"/></w:tcMar></w:tcPr><w:p><w:r><w:rPr><w:rFonts w:ascii="微软雅黑" w:cs="微软雅黑" w:eastAsia="微软雅黑" w:hAnsi="微软雅黑"/><w:b/><w:bCs/><w:color w:val="C00000"/><w:sz w:val="22"/><w:szCs w:val="22"/></w:rPr><w:t xml:space="preserve">⚠ 国资维度设计结论</w:t></w:r></w:p><w:p><w:pPr><w:spacing w:before="60"/></w:pPr><w:r><w:rPr><w:rFonts w:ascii="微软雅黑" w:cs="微软雅黑" w:eastAsia="微软雅黑" w:hAnsi="微软雅黑"/><w:sz w:val="21"/><w:szCs w:val="21"/></w:rPr><w:t xml:space="preserve">国资第一大股东是强缓冲（资源注入/订单输送/资产重组手段+强烈保壳意愿），V2给予S1维度12分的最高单维权重之一；但设置联动封顶规则——涉收入造假立案时S1封顶4分（国资&quot;应退则退&quot;切割避责，如退市国化收入真实性存疑直接退市）。既纠正V1对莫高类标的的系统性低估，也不把国资当成免死金牌。</w:t></w:r></w:p></w:tc></w:tr></w:tbl><w:r><w:br w:type="page"/></w:r><w:p><w:pPr><w:pStyle w:val="Heading1"/><w:spacing w:after="160" w:before="300"/></w:pPr><w:r><w:rPr><w:rFonts w:ascii="微软雅黑" w:cs="微软雅黑" w:eastAsia="微软雅黑" w:hAnsi="微软雅黑"/><w:b/><w:bCs/><w:color w:val="1F5FA8"/><w:sz w:val="32"/><w:szCs w:val="32"/></w:rPr><w:t xml:space="preserve">三、V2评分体系设计方案</w:t></w:r></w:p><w:p><w:pPr><w:pStyle w:val="Heading2"/><w:spacing w:after="120" w:before="220"/></w:pPr><w:r><w:rPr><w:rFonts w:ascii="微软雅黑" w:cs="微软雅黑" w:eastAsia="微软雅黑" w:hAnsi="微软雅黑"/><w:b/><w:bCs/><w:color w:val="333333"/><w:sz w:val="26"/><w:szCs w:val="26"/></w:rPr><w:t xml:space="preserve">3.1 设计哲学的根本转变</w:t></w:r></w:p><w:tbl><w:tblPr><w:tblW w:type="pct" w:w="100%"/><w:tblBorders><w:top w:val="single" w:color="B0B0B0" w:sz="4"/><w:left w:val="single" w:color="B0B0B0" w:sz="4"/><w:bottom w:val="single" w:color="B0B0B0" w:sz="4"/><w:right w:val="single" w:color="B0B0B0" w:sz="4"/><w:insideH w:val="single" w:color="auto" w:sz="4"/><w:insideV w:val="single" w:color="auto" w:sz="4"/></w:tblBorders></w:tblPr><w:tblGrid><w:gridCol w:w="100"/><w:gridCol w:w="100"/><w:gridCol w:w="100"/></w:tblGrid><w:tr><w:trPr><w:tblHeader/></w:trPr><w:tc><w:tcPr><w:tcW w:type="pct" w:w="14.893617021276595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对比项</w:t></w:r></w:p></w:tc><w:tc><w:tcPr><w:tcW w:type="pct" w:w="42.5531914893617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V1（现行）</w:t></w:r></w:p></w:tc><w:tc><w:tcPr><w:tcW w:type="pct" w:w="42.5531914893617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V2（建议）</w:t></w:r></w:p></w:tc></w:tr><w:tr><w:tc><w:tcPr><w:tcW w:type="pct" w:w="14.893617021276595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设计范式</w:t></w:r></w:p></w:tc><w:tc><w:tcPr><w:tcW w:type="pct" w:w="42.5531914893617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财务健康度打分（静态信用评级视角）</w:t></w:r></w:p></w:tc><w:tc><w:tcPr><w:tcW w:type="pct" w:w="42.5531914893617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退市概率打分（违约模型视角）</w:t></w:r></w:p></w:tc></w:tr><w:tr><w:tc><w:tcPr><w:tcW w:type="pct" w:w="14.893617021276595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维度来源</w:t></w:r></w:p></w:tc><w:tc><w:tcPr><w:tcW w:type="pct" w:w="42.5531914893617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财务+监管+市场指标平铺</w:t></w:r></w:p></w:tc><w:tc><w:tcPr><w:tcW w:type="pct" w:w="42.5531914893617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维度=退市通道，权重=历史退市贡献度</w:t></w:r></w:p></w:tc></w:tr><w:tr><w:tc><w:tcPr><w:tcW w:type="pct" w:w="14.893617021276595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股东因素</w:t></w:r></w:p></w:tc><w:tc><w:tcPr><w:tcW w:type="pct" w:w="42.5531914893617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仅看质押/冻结风险（负面）</w:t></w:r></w:p></w:tc><w:tc><w:tcPr><w:tcW w:type="pct" w:w="42.5531914893617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新增股东实力调节器（正面：国资/产业资本）</w:t></w:r></w:p></w:tc></w:tr><w:tr><w:tc><w:tcPr><w:tcW w:type="pct" w:w="14.893617021276595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营收处理</w:t></w:r></w:p></w:tc><w:tc><w:tcPr><w:tcW w:type="pct" w:w="42.5531914893617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当前是否达标（一刀切）</w:t></w:r></w:p></w:tc><w:tc><w:tcPr><w:tcW w:type="pct" w:w="42.5531914893617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扣非主营业务收入达标能力（缺口+连续性+真实性，老Z定稿口径）</w:t></w:r></w:p></w:tc></w:tr><w:tr><w:tc><w:tcPr><w:tcW w:type="pct" w:w="14.893617021276595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市值处理</w:t></w:r></w:p></w:tc><w:tc><w:tcPr><w:tcW w:type="pct" w:w="42.5531914893617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≥30亿才满分+偏离度矛盾</w:t></w:r></w:p></w:tc><w:tc><w:tcPr><w:tcW w:type="pct" w:w="42.5531914893617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壳价值锚定（对齐28亿基准；老Z反转：越低于壳价值分越高）</w:t></w:r></w:p></w:tc></w:tr></w:tbl><w:p><w:pPr><w:pStyle w:val="Heading2"/><w:spacing w:after="120" w:before="220"/></w:pPr><w:r><w:rPr><w:rFonts w:ascii="微软雅黑" w:cs="微软雅黑" w:eastAsia="微软雅黑" w:hAnsi="微软雅黑"/><w:b/><w:bCs/><w:color w:val="333333"/><w:sz w:val="26"/><w:szCs w:val="26"/></w:rPr><w:t xml:space="preserve">3.2 V2十三维100分制明细（老Z定稿版 2026-08-28）</w:t></w:r></w:p><w:p><w:pPr><w:spacing w:after="60" w:before="60" w:line="320"/></w:pPr><w:r><w:rPr><w:rFonts w:ascii="微软雅黑" w:cs="微软雅黑" w:eastAsia="微软雅黑" w:hAnsi="微软雅黑"/><w:sz w:val="21"/><w:szCs w:val="21"/></w:rPr><w:t xml:space="preserve">老Z在草案基础上定稿调整：C1面值10→6、B2审计8→12、C2壳价值规则反转（市值低于平均壳价值越多分越高）、A2改为扣非主营业务收入口径、F2重组8→6、A3扣非4→6。总分仍为100分。</w:t></w:r></w:p><w:tbl><w:tblPr><w:tblW w:type="pct" w:w="100%"/><w:tblBorders><w:top w:val="single" w:color="B0B0B0" w:sz="4"/><w:left w:val="single" w:color="B0B0B0" w:sz="4"/><w:bottom w:val="single" w:color="B0B0B0" w:sz="4"/><w:right w:val="single" w:color="B0B0B0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rPr><w:tblHeader/></w:trPr><w:tc><w:tcPr><w:tcW w:type="pct" w:w="7.291666666666667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维度</w:t></w:r></w:p></w:tc><w:tc><w:tcPr><w:tcW w:type="pct" w:w="16.666666666666664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名称</w:t></w:r></w:p></w:tc><w:tc><w:tcPr><w:tcW w:type="pct" w:w="7.291666666666667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分值</w:t></w:r></w:p></w:tc><w:tc><w:tcPr><w:tcW w:type="pct" w:w="22.916666666666664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退市通道/依据</w:t></w:r></w:p></w:tc><w:tc><w:tcPr><w:tcW w:type="pct" w:w="45.83333333333333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评分规则草案</w:t></w:r></w:p></w:tc></w:tr><w:tr><w:tc><w:tcPr><w:tcW w:type="pct" w:w="7.291666666666667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C1</w:t></w:r></w:p></w:tc><w:tc><w:tcPr><w:tcW w:type="pct" w:w="16.666666666666664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面值距离</w:t></w:r></w:p></w:tc><w:tc><w:tcPr><w:tcW w:type="pct" w:w="7.291666666666667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6</w:t></w:r></w:p></w:tc><w:tc><w:tcPr><w:tcW w:type="pct" w:w="22.916666666666664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交易类退市≈55%，不可逆(老Z降权)</w:t></w:r></w:p></w:tc><w:tc><w:tcPr><w:tcW w:type="pct" w:w="45.83333333333333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≥5元:6 / 3~5:5 / 2~3:4 / 1.5~2:2 / 1.2~1.5:1 / &lt;1.2:0</w:t></w:r></w:p></w:tc></w:tr><w:tr><w:tc><w:tcPr><w:tcW w:type="pct" w:w="7.291666666666667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C2</w:t></w:r></w:p></w:tc><w:tc><w:tcPr><w:tcW w:type="pct" w:w="16.666666666666664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壳价值锚定</w:t></w:r></w:p></w:tc><w:tc><w:tcPr><w:tcW w:type="pct" w:w="7.291666666666667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8</w:t></w:r></w:p></w:tc><w:tc><w:tcPr><w:tcW w:type="pct" w:w="22.916666666666664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市值=壳价值市场定价(基准28亿)</w:t></w:r></w:p></w:tc><w:tc><w:tcPr><w:tcW w:type="pct" w:w="45.83333333333333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市值≤5折(≤14亿):8 / 5~7.5折:6 / 7.5折~1倍:4 / 1~1.5倍:2 / &gt;1.5倍:0（老Z反转：越低于壳价值分越高，便宜=并购机会）</w:t></w:r></w:p></w:tc></w:tr><w:tr><w:tc><w:tcPr><w:tcW w:type="pct" w:w="7.291666666666667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S1</w:t></w:r></w:p></w:tc><w:tc><w:tcPr><w:tcW w:type="pct" w:w="16.666666666666664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实控人性质与保壳能力</w:t></w:r></w:p></w:tc><w:tc><w:tcPr><w:tcW w:type="pct" w:w="7.291666666666667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12</w:t></w:r></w:p></w:tc><w:tc><w:tcPr><w:tcW w:type="pct" w:w="22.916666666666664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国资退市&lt;8%但非免死(新增)</w:t></w:r></w:p></w:tc><w:tc><w:tcPr><w:tcW w:type="pct" w:w="45.83333333333333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央企/省级国资:10 / 市县国资:8 / 强产业资本:6 / 一般民企:3 / 失联:1；涉造假立案封顶4</w:t></w:r></w:p></w:tc></w:tr><w:tr><w:tc><w:tcPr><w:tcW w:type="pct" w:w="7.291666666666667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S2</w:t></w:r></w:p></w:tc><w:tc><w:tcPr><w:tcW w:type="pct" w:w="16.666666666666664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股权质押与控制权</w:t></w:r></w:p></w:tc><w:tc><w:tcPr><w:tcW w:type="pct" w:w="7.291666666666667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6</w:t></w:r></w:p></w:tc><w:tc><w:tcPr><w:tcW w:type="pct" w:w="22.916666666666664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爆仓→控制权真空</w:t></w:r></w:p></w:tc><w:tc><w:tcPr><w:tcW w:type="pct" w:w="45.83333333333333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质押&lt;20%:6 / 20~50%:4 / &gt;50%:2 / 爆仓冻结:0</w:t></w:r></w:p></w:tc></w:tr><w:tr><w:tc><w:tcPr><w:tcW w:type="pct" w:w="7.291666666666667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A1</w:t></w:r></w:p></w:tc><w:tc><w:tcPr><w:tcW w:type="pct" w:w="16.666666666666664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净资产充裕度</w:t></w:r></w:p></w:tc><w:tc><w:tcPr><w:tcW w:type="pct" w:w="7.291666666666667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10</w:t></w:r></w:p></w:tc><w:tc><w:tcPr><w:tcW w:type="pct" w:w="22.916666666666664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财务类硬红线</w:t></w:r></w:p></w:tc><w:tc><w:tcPr><w:tcW w:type="pct" w:w="45.83333333333333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&gt;10亿:10 / &gt;5亿:8 / 2~5亿:6 / 0~2亿:3 / 为负:0</w:t></w:r></w:p></w:tc></w:tr><w:tr><w:tc><w:tcPr><w:tcW w:type="pct" w:w="7.291666666666667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A2</w:t></w:r></w:p></w:tc><w:tc><w:tcPr><w:tcW w:type="pct" w:w="16.666666666666664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扣非主营业务收入</w:t></w:r></w:p></w:tc><w:tc><w:tcPr><w:tcW w:type="pct" w:w="7.291666666666667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12</w:t></w:r></w:p></w:tc><w:tc><w:tcPr><w:tcW w:type="pct" w:w="22.916666666666664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财务类主触发(老Z改口径)</w:t></w:r></w:p></w:tc><w:tc><w:tcPr><w:tcW w:type="pct" w:w="45.83333333333333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扣非主营收入达标:12 / 缺口≤20%:9 / 20~40%:6 / 40~60%:3 / &gt;60%或连续两年:0；收入真实性存疑-3</w:t></w:r></w:p></w:tc></w:tr><w:tr><w:tc><w:tcPr><w:tcW w:type="pct" w:w="7.291666666666667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A3</w:t></w:r></w:p></w:tc><w:tc><w:tcPr><w:tcW w:type="pct" w:w="16.666666666666664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扣非盈利</w:t></w:r></w:p></w:tc><w:tc><w:tcPr><w:tcW w:type="pct" w:w="7.291666666666667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6</w:t></w:r></w:p></w:tc><w:tc><w:tcPr><w:tcW w:type="pct" w:w="22.916666666666664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组合伴生条件(老Z提权)</w:t></w:r></w:p></w:tc><w:tc><w:tcPr><w:tcW w:type="pct" w:w="45.83333333333333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为正:6 / 亏损收窄:3 / 连亏3年:0</w:t></w:r></w:p></w:tc></w:tr><w:tr><w:tc><w:tcPr><w:tcW w:type="pct" w:w="7.291666666666667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D1</w:t></w:r></w:p></w:tc><w:tc><w:tcPr><w:tcW w:type="pct" w:w="16.666666666666664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现金流质量</w:t></w:r></w:p></w:tc><w:tc><w:tcPr><w:tcW w:type="pct" w:w="7.291666666666667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4</w:t></w:r></w:p></w:tc><w:tc><w:tcPr><w:tcW w:type="pct" w:w="22.916666666666664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不触发退市(降权)</w:t></w:r></w:p></w:tc><w:tc><w:tcPr><w:tcW w:type="pct" w:w="45.83333333333333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OCF/营收&gt;0.1:4 / 0~0.1:2 / 为负:0</w:t></w:r></w:p></w:tc></w:tr><w:tr><w:tc><w:tcPr><w:tcW w:type="pct" w:w="7.291666666666667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B1</w:t></w:r></w:p></w:tc><w:tc><w:tcPr><w:tcW w:type="pct" w:w="16.666666666666664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立案/造假信号</w:t></w:r></w:p></w:tc><w:tc><w:tcPr><w:tcW w:type="pct" w:w="7.291666666666667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10</w:t></w:r></w:p></w:tc><w:tc><w:tcPr><w:tcW w:type="pct" w:w="22.916666666666664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重大违法独立通道</w:t></w:r></w:p></w:tc><w:tc><w:tcPr><w:tcW w:type="pct" w:w="45.83333333333333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无:10 / 已结案:7 / 信披立案:4 / 涉造假立案:0</w:t></w:r></w:p></w:tc></w:tr><w:tr><w:tc><w:tcPr><w:tcW w:type="pct" w:w="7.291666666666667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B2</w:t></w:r></w:p></w:tc><w:tc><w:tcPr><w:tcW w:type="pct" w:w="16.666666666666664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审计意见</w:t></w:r></w:p></w:tc><w:tc><w:tcPr><w:tcW w:type="pct" w:w="7.291666666666667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12</w:t></w:r></w:p></w:tc><w:tc><w:tcPr><w:tcW w:type="pct" w:w="22.916666666666664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规范类直接通道(老Z提权)</w:t></w:r></w:p></w:tc><w:tc><w:tcPr><w:tcW w:type="pct" w:w="45.83333333333333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标准:12 / 带强调:9 / 保留:6 / 无法表示·否定:0</w:t></w:r></w:p></w:tc></w:tr><w:tr><w:tc><w:tcPr><w:tcW w:type="pct" w:w="7.291666666666667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F2</w:t></w:r></w:p></w:tc><w:tc><w:tcPr><w:tcW w:type="pct" w:w="16.666666666666664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重组/纾困进度</w:t></w:r></w:p></w:tc><w:tc><w:tcPr><w:tcW w:type="pct" w:w="7.291666666666667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6</w:t></w:r></w:p></w:tc><w:tc><w:tcPr><w:tcW w:type="pct" w:w="22.916666666666664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典型反转路径(老Z降权)</w:t></w:r></w:p></w:tc><w:tc><w:tcPr><w:tcW w:type="pct" w:w="45.83333333333333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重整执行:6 / 预重整:4 / 出售豁免:2 / 无:0</w:t></w:r></w:p></w:tc></w:tr><w:tr><w:tc><w:tcPr><w:tcW w:type="pct" w:w="7.291666666666667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F1</w:t></w:r></w:p></w:tc><w:tc><w:tcPr><w:tcW w:type="pct" w:w="16.666666666666664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经营改善趋势</w:t></w:r></w:p></w:tc><w:tc><w:tcPr><w:tcW w:type="pct" w:w="7.291666666666667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4</w:t></w:r></w:p></w:tc><w:tc><w:tcPr><w:tcW w:type="pct" w:w="22.916666666666664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达标能力领先指标</w:t></w:r></w:p></w:tc><w:tc><w:tcPr><w:tcW w:type="pct" w:w="45.83333333333333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双改善:4 / 平稳:2 / 恶化:0</w:t></w:r></w:p></w:tc></w:tr><w:tr><w:tc><w:tcPr><w:tcW w:type="pct" w:w="7.291666666666667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H1</w:t></w:r></w:p></w:tc><w:tc><w:tcPr><w:tcW w:type="pct" w:w="16.666666666666664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实控人司法风险</w:t></w:r></w:p></w:tc><w:tc><w:tcPr><w:tcW w:type="pct" w:w="7.291666666666667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4</w:t></w:r></w:p></w:tc><w:tc><w:tcPr><w:tcW w:type="pct" w:w="22.916666666666664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传导项(降权)</w:t></w:r></w:p></w:tc><w:tc><w:tcPr><w:tcW w:type="pct" w:w="45.83333333333333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无:4 / 限高:2 / 冻结+立案:0</w:t></w:r></w:p></w:tc></w:tr><w:tr><w:tc><w:tcPr><w:tcW w:type="pct" w:w="7.291666666666667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</w:t></w:r></w:p></w:tc><w:tc><w:tcPr><w:tcW w:type="pct" w:w="16.666666666666664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合计</w:t></w:r></w:p></w:tc><w:tc><w:tcPr><w:tcW w:type="pct" w:w="7.291666666666667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100</w:t></w:r></w:p></w:tc><w:tc><w:tcPr><w:tcW w:type="pct" w:w="22.916666666666664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</w:t></w:r></w:p></w:tc><w:tc><w:tcPr><w:tcW w:type="pct" w:w="45.83333333333333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</w:t></w:r></w:p></w:tc></w:tr></w:tbl><w:p><w:pPr><w:pStyle w:val="Heading2"/><w:spacing w:after="120" w:before="220"/></w:pPr><w:r><w:rPr><w:rFonts w:ascii="微软雅黑" w:cs="微软雅黑" w:eastAsia="微软雅黑" w:hAnsi="微软雅黑"/><w:b/><w:bCs/><w:color w:val="333333"/><w:sz w:val="26"/><w:szCs w:val="26"/></w:rPr><w:t xml:space="preserve">3.3 V1→V2维度映射</w:t></w:r></w:p><w:tbl><w:tblPr><w:tblW w:type="pct" w:w="100%"/><w:tblBorders><w:top w:val="single" w:color="B0B0B0" w:sz="4"/><w:left w:val="single" w:color="B0B0B0" w:sz="4"/><w:bottom w:val="single" w:color="B0B0B0" w:sz="4"/><w:right w:val="single" w:color="B0B0B0" w:sz="4"/><w:insideH w:val="single" w:color="auto" w:sz="4"/><w:insideV w:val="single" w:color="auto" w:sz="4"/></w:tblBorders></w:tblPr><w:tblGrid><w:gridCol w:w="100"/><w:gridCol w:w="100"/><w:gridCol w:w="100"/></w:tblGrid><w:tr><w:trPr><w:tblHeader/></w:trPr><w:tc><w:tcPr><w:tcW w:type="pct" w:w="23.91304347826087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V2维度</w:t></w:r></w:p></w:tc><w:tc><w:tcPr><w:tcW w:type="pct" w:w="26.08695652173913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V1对应</w:t></w:r></w:p></w:tc><w:tc><w:tcPr><w:tcW w:type="pct" w:w="50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变化</w:t></w:r></w:p></w:tc></w:tr><w:tr><w:tc><w:tcPr><w:tcW w:type="pct" w:w="23.91304347826087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C1面值(6)</w:t></w:r></w:p></w:tc><w:tc><w:tcPr><w:tcW w:type="pct" w:w="26.08695652173913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C1面值(8)</w:t></w:r></w:p></w:tc><w:tc><w:tcPr><w:tcW w:type="pct" w:w="50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老Z定稿降权2：面值有C2壳价值对冲后属尾部事件</w:t></w:r></w:p></w:tc></w:tr><w:tr><w:tc><w:tcPr><w:tcW w:type="pct" w:w="23.91304347826087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C2壳价值(8)</w:t></w:r></w:p></w:tc><w:tc><w:tcPr><w:tcW w:type="pct" w:w="26.08695652173913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C2市值(4)+G1偏离(5)</w:t></w:r></w:p></w:tc><w:tc><w:tcPr><w:tcW w:type="pct" w:w="50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合并重构：壳价值锚定28亿基准，老Z反转规则（越低于壳价值分越高），删除G1</w:t></w:r></w:p></w:tc></w:tr><w:tr><w:tc><w:tcPr><w:tcW w:type="pct" w:w="23.91304347826087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S1实控人性质(12)</w:t></w:r></w:p></w:tc><w:tc><w:tcPr><w:tcW w:type="pct" w:w="26.08695652173913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无</w:t></w:r></w:p></w:tc><w:tc><w:tcPr><w:tcW w:type="pct" w:w="50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新增核心维度</w:t></w:r></w:p></w:tc></w:tr><w:tr><w:tc><w:tcPr><w:tcW w:type="pct" w:w="23.91304347826087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S2质押控制权(6)</w:t></w:r></w:p></w:tc><w:tc><w:tcPr><w:tcW w:type="pct" w:w="26.08695652173913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E1质押(8)</w:t></w:r></w:p></w:tc><w:tc><w:tcPr><w:tcW w:type="pct" w:w="50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降权2</w:t></w:r></w:p></w:tc></w:tr><w:tr><w:tc><w:tcPr><w:tcW w:type="pct" w:w="23.91304347826087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A1净资产(10)</w:t></w:r></w:p></w:tc><w:tc><w:tcPr><w:tcW w:type="pct" w:w="26.08695652173913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A3净资产(8)</w:t></w:r></w:p></w:tc><w:tc><w:tcPr><w:tcW w:type="pct" w:w="50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加权2</w:t></w:r></w:p></w:tc></w:tr><w:tr><w:tc><w:tcPr><w:tcW w:type="pct" w:w="23.91304347826087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A2扣非主营业务收入(12)</w:t></w:r></w:p></w:tc><w:tc><w:tcPr><w:tcW w:type="pct" w:w="26.08695652173913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A2营收(12)</w:t></w:r></w:p></w:tc><w:tc><w:tcPr><w:tcW w:type="pct" w:w="50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分值不变，老Z改口径为扣非主营业务收入（防贸易/垫资冲量）</w:t></w:r></w:p></w:tc></w:tr><w:tr><w:tc><w:tcPr><w:tcW w:type="pct" w:w="23.91304347826087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A3扣非(6)</w:t></w:r></w:p></w:tc><w:tc><w:tcPr><w:tcW w:type="pct" w:w="26.08695652173913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A1扣非(5)</w:t></w:r></w:p></w:tc><w:tc><w:tcPr><w:tcW w:type="pct" w:w="50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老Z提权1</w:t></w:r></w:p></w:tc></w:tr><w:tr><w:tc><w:tcPr><w:tcW w:type="pct" w:w="23.91304347826087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D1现金流(4)</w:t></w:r></w:p></w:tc><w:tc><w:tcPr><w:tcW w:type="pct" w:w="26.08695652173913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D1现金流(10)</w:t></w:r></w:p></w:tc><w:tc><w:tcPr><w:tcW w:type="pct" w:w="50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大幅降权6</w:t></w:r></w:p></w:tc></w:tr><w:tr><w:tc><w:tcPr><w:tcW w:type="pct" w:w="23.91304347826087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B1立案造假(10)</w:t></w:r></w:p></w:tc><w:tc><w:tcPr><w:tcW w:type="pct" w:w="26.08695652173913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B1违规(5)+B3处罚(6)</w:t></w:r></w:p></w:tc><w:tc><w:tcPr><w:tcW w:type="pct" w:w="50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合并加权，突出造假零容忍</w:t></w:r></w:p></w:tc></w:tr><w:tr><w:tc><w:tcPr><w:tcW w:type="pct" w:w="23.91304347826087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B2审计(12)</w:t></w:r></w:p></w:tc><w:tc><w:tcPr><w:tcW w:type="pct" w:w="26.08695652173913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B2审计(5)</w:t></w:r></w:p></w:tc><w:tc><w:tcPr><w:tcW w:type="pct" w:w="50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老Z提权7：非标意见=规范类退市直接通道，与S1并列第一权重</w:t></w:r></w:p></w:tc></w:tr><w:tr><w:tc><w:tcPr><w:tcW w:type="pct" w:w="23.91304347826087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F2重组(6)</w:t></w:r></w:p></w:tc><w:tc><w:tcPr><w:tcW w:type="pct" w:w="26.08695652173913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F2纾困(7)</w:t></w:r></w:p></w:tc><w:tc><w:tcPr><w:tcW w:type="pct" w:w="50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老Z定稿降权1</w:t></w:r></w:p></w:tc></w:tr><w:tr><w:tc><w:tcPr><w:tcW w:type="pct" w:w="23.91304347826087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F1趋势(4)</w:t></w:r></w:p></w:tc><w:tc><w:tcPr><w:tcW w:type="pct" w:w="26.08695652173913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F1持续经营(9)</w:t></w:r></w:p></w:tc><w:tc><w:tcPr><w:tcW w:type="pct" w:w="50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大幅降权5</w:t></w:r></w:p></w:tc></w:tr><w:tr><w:tc><w:tcPr><w:tcW w:type="pct" w:w="23.91304347826087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H1司法(4)</w:t></w:r></w:p></w:tc><w:tc><w:tcPr><w:tcW w:type="pct" w:w="26.08695652173913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H1实控人风险(8)</w:t></w:r></w:p></w:tc><w:tc><w:tcPr><w:tcW w:type="pct" w:w="50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降权4</w:t></w:r></w:p></w:tc></w:tr></w:tbl><w:p><w:pPr><w:pStyle w:val="Heading2"/><w:spacing w:after="120" w:before="220"/></w:pPr><w:r><w:rPr><w:rFonts w:ascii="微软雅黑" w:cs="微软雅黑" w:eastAsia="微软雅黑" w:hAnsi="微软雅黑"/><w:b/><w:bCs/><w:color w:val="333333"/><w:sz w:val="26"/><w:szCs w:val="26"/></w:rPr><w:t xml:space="preserve">3.4 ST莫高失真修正验证（老Z定稿版重演算）</w:t></w:r></w:p><w:tbl><w:tblPr><w:tblW w:type="pct" w:w="100%"/><w:tblBorders><w:top w:val="single" w:color="B0B0B0" w:sz="4"/><w:left w:val="single" w:color="B0B0B0" w:sz="4"/><w:bottom w:val="single" w:color="B0B0B0" w:sz="4"/><w:right w:val="single" w:color="B0B0B0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pct" w:w="14.893617021276595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维度</w:t></w:r></w:p></w:tc><w:tc><w:tcPr><w:tcW w:type="pct" w:w="17.02127659574468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V1得分</w:t></w:r></w:p></w:tc><w:tc><w:tcPr><w:tcW w:type="pct" w:w="19.148936170212767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V2得分</w:t></w:r></w:p></w:tc><w:tc><w:tcPr><w:tcW w:type="pct" w:w="48.93617021276596%"/><w:shd w:fill="1F5FA8" w:val="clear"/><w:tcMar><w:top w:type="dxa" w:w="60"/><w:left w:type="dxa" w:w="80"/><w:bottom w:type="dxa" w:w="60"/><w:right w:type="dxa" w:w="80"/></w:tcMar></w:tcPr><w:p><w:pPr><w:jc w:val="center"/></w:pPr><w:r><w:rPr><w:rFonts w:ascii="微软雅黑" w:cs="微软雅黑" w:eastAsia="微软雅黑" w:hAnsi="微软雅黑"/><w:b/><w:bCs/><w:color w:val="FFFFFF"/><w:sz w:val="20"/><w:szCs w:val="20"/></w:rPr><w:t xml:space="preserve">依据</w:t></w:r></w:p></w:tc></w:tr><w:tr><w:tc><w:tcPr><w:tcW w:type="pct" w:w="14.893617021276595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C1/C2</w:t></w:r></w:p></w:tc><w:tc><w:tcPr><w:tcW w:type="pct" w:w="17.02127659574468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6+2</w:t></w:r></w:p></w:tc><w:tc><w:tcPr><w:tcW w:type="pct" w:w="19.148936170212767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5+8</w:t></w:r></w:p></w:tc><w:tc><w:tcPr><w:tcW w:type="pct" w:w="48.93617021276596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C1收紧6分制(4.25元→5)；C2反转：13.65亿≈壳基准28亿的5折→满8分(便宜=并购机会)</w:t></w:r></w:p></w:tc></w:tr><w:tr><w:tc><w:tcPr><w:tcW w:type="pct" w:w="14.893617021276595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S1/S2</w:t></w:r></w:p></w:tc><w:tc><w:tcPr><w:tcW w:type="pct" w:w="17.02127659574468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无+4</w:t></w:r></w:p></w:tc><w:tc><w:tcPr><w:tcW w:type="pct" w:w="19.148936170212767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10+6</w:t></w:r></w:p></w:tc><w:tc><w:tcPr><w:tcW w:type="pct" w:w="48.93617021276596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省级国资(甘肃农垦)无质押</w:t></w:r></w:p></w:tc></w:tr><w:tr><w:tc><w:tcPr><w:tcW w:type="pct" w:w="14.893617021276595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A组</w:t></w:r></w:p></w:tc><w:tc><w:tcPr><w:tcW w:type="pct" w:w="17.02127659574468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2+2+7</w:t></w:r></w:p></w:tc><w:tc><w:tcPr><w:tcW w:type="pct" w:w="19.148936170212767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3+8+0</w:t></w:r></w:p></w:tc><w:tc><w:tcPr><w:tcW w:type="pct" w:w="48.93617021276596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扣非主营口径缺口&gt;32%→3(防贸易冲量)；净资产7.07亿→8；扣非连亏→0</w:t></w:r></w:p></w:tc></w:tr><w:tr><w:tc><w:tcPr><w:tcW w:type="pct" w:w="14.893617021276595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B组</w:t></w:r></w:p></w:tc><w:tc><w:tcPr><w:tcW w:type="pct" w:w="17.02127659574468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4+4+5</w:t></w:r></w:p></w:tc><w:tc><w:tcPr><w:tcW w:type="pct" w:w="19.148936170212767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10+12</w:t></w:r></w:p></w:tc><w:tc><w:tcPr><w:tcW w:type="pct" w:w="48.93617021276596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无立案无违规，V2满分；B2提权12分制标准无保留→12</w:t></w:r></w:p></w:tc></w:tr><w:tr><w:tc><w:tcPr><w:tcW w:type="pct" w:w="14.893617021276595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D1/F组/H1</w:t></w:r></w:p></w:tc><w:tc><w:tcPr><w:tcW w:type="pct" w:w="17.02127659574468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0+4+0+8</w:t></w:r></w:p></w:tc><w:tc><w:tcPr><w:tcW w:type="pct" w:w="19.148936170212767%"/><w:shd w:fill="FFFFFF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0+2+0+4</w:t></w:r></w:p></w:tc><w:tc><w:tcPr><w:tcW w:type="pct" w:w="48.93617021276596%"/><w:shd w:fill="FFFFFF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现金流两版均0但权重减半；H1无风险</w:t></w:r></w:p></w:tc></w:tr><w:tr><w:tc><w:tcPr><w:tcW w:type="pct" w:w="14.893617021276595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合计</w:t></w:r></w:p></w:tc><w:tc><w:tcPr><w:tcW w:type="pct" w:w="17.02127659574468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53分/B级/第171名</w:t></w:r></w:p></w:tc><w:tc><w:tcPr><w:tcW w:type="pct" w:w="19.148936170212767%"/><w:shd w:fill="F2F2F2" w:val="clear"/><w:tcMar><w:top w:type="dxa" w:w="50"/><w:left w:type="dxa" w:w="80"/><w:bottom w:type="dxa" w:w="50"/><w:right w:type="dxa" w:w="80"/></w:tcMar></w:tcPr><w:p><w:pPr><w:jc w:val="center"/></w:pPr><w:r><w:rPr><w:rFonts w:ascii="微软雅黑" w:cs="微软雅黑" w:eastAsia="微软雅黑" w:hAnsi="微软雅黑"/><w:sz w:val="19"/><w:szCs w:val="19"/></w:rPr><w:t xml:space="preserve">≈68分/A级/前60名</w:t></w:r></w:p></w:tc><w:tc><w:tcPr><w:tcW w:type="pct" w:w="48.93617021276596%"/><w:shd w:fill="F2F2F2" w:val="clear"/><w:tcMar><w:top w:type="dxa" w:w="50"/><w:left w:type="dxa" w:w="80"/><w:bottom w:type="dxa" w:w="50"/><w:right w:type="dxa" w:w="80"/></w:tcMar></w:tcPr><w:p><w:pPr><w:jc w:val="left"/></w:pPr><w:r><w:rPr><w:rFonts w:ascii="微软雅黑" w:cs="微软雅黑" w:eastAsia="微软雅黑" w:hAnsi="微软雅黑"/><w:sz w:val="19"/><w:szCs w:val="19"/></w:rPr><w:t xml:space="preserve">B2/C2提权对冲C1收紧与A2口径加严，总分仍≈68分/A级，与&quot;退市风险很低&quot;的市场共识一致</w:t></w:r></w:p></w:tc></w:tr></w:tbl><w:p><w:pPr><w:spacing w:after="60" w:before="60" w:line="320"/></w:pPr><w:r><w:rPr><w:rFonts w:ascii="微软雅黑" w:cs="微软雅黑" w:eastAsia="微软雅黑" w:hAnsi="微软雅黑"/><w:sz w:val="21"/><w:szCs w:val="21"/></w:rPr><w:t xml:space="preserve">反向验证：对造假立案+股价1.3元+资不抵债的极端标的（*ST左江式），V1约37分起，V2仅约5分（D级）——区分度大幅提升，V2对&quot;真退市风险&quot;的识别更敏锐。</w:t></w:r></w:p><w:p><w:pPr><w:pStyle w:val="Heading1"/><w:spacing w:after="160" w:before="300"/></w:pPr><w:r><w:rPr><w:rFonts w:ascii="微软雅黑" w:cs="微软雅黑" w:eastAsia="微软雅黑" w:hAnsi="微软雅黑"/><w:b/><w:bCs/><w:color w:val="1F5FA8"/><w:sz w:val="32"/><w:szCs w:val="32"/></w:rPr><w:t xml:space="preserve">四、实施路径</w:t></w:r></w:p><0/><w:tbl><w:tblPr><w:tblW w:type="pct" w:w="100%"/><w:tblBorders><w:top w:val="single" w:color="B0B0B0" w:sz="4"/><w:left w:val="single" w:color="B0B0B0" w:sz="4"/><w:bottom w:val="single" w:color="B0B0B0" w:sz="4"/><w:right w:val="single" w:color="B0B0B0" w:sz="4"/><w:insideH w:val="single" w:color="auto" w:sz="4"/><w:insideV w:val="single" w:color="auto" w:sz="4"/></w:tblBorders></w:tblPr><w:tblGrid><w:gridCol w:w="100"/></w:tblGrid><w:tr><w:tc><w:tcPr><w:shd w:fill="FCE4E4" w:val="clear"/><w:tcMar><w:top w:type="dxa" w:w="120"/><w:left w:type="dxa" w:w="200"/><w:bottom w:type="dxa" w:w="120"/><w:right w:type="dxa" w:w="200"/></w:tcMar></w:tcPr><w:p><w:r><w:rPr><w:rFonts w:ascii="微软雅黑" w:cs="微软雅黑" w:eastAsia="微软雅黑" w:hAnsi="微软雅黑"/><w:b/><w:bCs/><w:color w:val="C00000"/><w:sz w:val="22"/><w:szCs w:val="22"/></w:rPr><w:t xml:space="preserve">⚠ 风险提示</w:t></w:r></w:p><w:p><w:pPr><w:spacing w:before="60"/></w:pPr><w:r><w:rPr><w:rFonts w:ascii="微软雅黑" w:cs="微软雅黑" w:eastAsia="微软雅黑" w:hAnsi="微软雅黑"/><w:sz w:val="21"/><w:szCs w:val="21"/></w:rPr><w:t xml:space="preserve">①退市类型统计存在口径差异（多源区间值），核心结论稳健但具体占比有±5%浮动；②&quot;实控人性质-保壳能力&quot;为经验规律，2024年&quot;应退则退&quot;政策正在弱化该规律，需持续跟踪国资退市案例；③收入真实性风险标记依赖年报附注披露，自动化程度暂有限；④本报告为研究框架设计，不构成投资建议。</w:t></w:r></w:p></w:tc></w:tr></w:tbl><w:p><w:pPr><w:spacing w:after="60" w:before="60" w:line="320"/></w:pPr><w:r><w:rPr><w:rFonts w:ascii="微软雅黑" w:cs="微软雅黑" w:eastAsia="微软雅黑" w:hAnsi="微软雅黑"/><w:sz w:val="21"/><w:szCs w:val="21"/></w:rPr><w:t xml:space="preserve"></w:t></w:r></w:p><w:p><w:pPr><w:spacing w:after="60" w:before="60" w:line="320"/></w:pPr><w:r><w:rPr><w:rFonts w:ascii="微软雅黑" w:cs="微软雅黑" w:eastAsia="微软雅黑" w:hAnsi="微软雅黑"/><w:color w:val="888888"/><w:sz w:val="9"/><w:szCs w:val="9"/></w:rPr><w:t xml:space="preserve">免责声明：本报告基于公开信息与自动化数据管道编制，数据截至2026年8月28日。退市规则以交易所最新规定为准，评分体系为独立研究框架，不构成投资建议。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2026-08-28T12:45:00.401Z</dcterms:created>
  <dcterms:modified xsi:type="dcterms:W3CDTF">2026-08-28T12:45:00.407Z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