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ST保壳评分系统V2</w:t>
        <w:br/>
        <w:t>评分失真诊断与修改建议</w:t>
      </w:r>
    </w:p>
    <w:p>
      <w:pPr>
        <w:jc w:val="center"/>
      </w:pPr>
      <w:r>
        <w:rPr>
          <w:sz w:val="26"/>
        </w:rPr>
        <w:t>——基于 *ST元道(301139) 欺诈发行退市锁定案例</w:t>
      </w:r>
    </w:p>
    <w:p>
      <w:pPr>
        <w:jc w:val="center"/>
      </w:pPr>
      <w:r>
        <w:rPr>
          <w:color w:val="666666"/>
          <w:sz w:val="20"/>
        </w:rPr>
        <w:t>报告日期：2026年8月30日</w:t>
        <w:br/>
        <w:t>分析机构：小调AI-WorkBuddy</w:t>
        <w:br/>
        <w:t>对照样本：《301139_ST元道_V168G深度分析报告_20260830.docx》（专家模型参考分 22/100）</w:t>
      </w:r>
    </w:p>
    <w:p>
      <w:pPr>
        <w:pStyle w:val="Heading1"/>
      </w:pPr>
      <w:r>
        <w:rPr>
          <w:color w:val="1A5276"/>
        </w:rPr>
        <w:t>一、案例概述：同一标的，两套结论</w:t>
      </w:r>
    </w:p>
    <w:p>
      <w:r>
        <w:rPr>
          <w:b w:val="0"/>
        </w:rPr>
        <w:t>专家模型（V168+G九章式）对 *ST元道 的定性：欺诈发行重大违法强制退市已锁定——2026-08-28证监会行政处罚决定书落地（公司罚2.39亿、实控人李晋5年市场禁入），同日深交所发出终止上市事先告知书，8月31日停牌，预计11月摘牌。参考评分 22/100（D级，仅作存档）。</w:t>
      </w:r>
    </w:p>
    <w:p>
      <w:r>
        <w:rPr>
          <w:b w:val="0"/>
        </w:rPr>
        <w:t>而风云榜V2修复前的评分：76分 / A级 / 全榜第19名 / 摸鱼榜第1名（摸鱼指数82）。一个已锁定退市的标的位居「保壳最容易+摸鱼潜伏」双榜首，属于系统性评分失真，必须溯源修正。</w:t>
      </w:r>
    </w:p>
    <w:p>
      <w:pPr>
        <w:pStyle w:val="Heading1"/>
      </w:pPr>
      <w:r>
        <w:rPr>
          <w:color w:val="1A5276"/>
        </w:rPr>
        <w:t>二、失真根因：三层问题</w:t>
      </w:r>
    </w:p>
    <w:p>
      <w:pPr>
        <w:pStyle w:val="Heading2"/>
      </w:pPr>
      <w:r>
        <w:rPr>
          <w:color w:val="2E749B"/>
        </w:rPr>
        <w:t>2.1 数据层（根因）：巨潮关键词搜索翻页bug + 信号库元道全空</w:t>
      </w:r>
    </w:p>
    <w:p>
      <w:r>
        <w:rPr>
          <w:b w:val="0"/>
        </w:rPr>
        <w:t>旧采集方案按13个关键词做全市场搜索。实测发现巨潮 hisAnnouncement/query 接口对关键词搜索的翻页存在严重缺陷：5页请求500条，实际仅返回150条、其中唯一公告约30条、120条为重复返回（即V1时代踩过的「同一公告重复返回」大坑）。时间倒序下，元道2025-07-11的立案公告排在400名开外，永远翻不到——导致元道12个信号桶全空：立案、处罚、保留意见、股份冻结全部漏采。</w:t>
      </w:r>
    </w:p>
    <w:p>
      <w:r>
        <w:rPr>
          <w:b w:val="0"/>
        </w:rPr>
        <w:t>而事实是（定向查询实测）：元道近24个月公告270条中，含立案告知书1条、立案调查进展7条、行政处罚决定书1条、处罚事先告知书1条、保留意见专项说明4条（2024/2025年报连续两年保留意见）、冻结类公告8条。信号非常密集，全部被旧管道漏掉。</w:t>
      </w:r>
    </w:p>
    <w:p>
      <w:pPr>
        <w:pStyle w:val="Heading2"/>
      </w:pPr>
      <w:r>
        <w:rPr>
          <w:color w:val="2E749B"/>
        </w:rPr>
        <w:t>2.2 规则层：处罚落地不触发B1归零</w:t>
      </w:r>
    </w:p>
    <w:p>
      <w:r>
        <w:rPr>
          <w:b w:val="0"/>
        </w:rPr>
        <w:t>旧B1逻辑只消费 investigation 桶。元道处罚决定书8-29披露（penalty桶命中），但即使命中旧逻辑也不会归零——「处罚落地」是比「立案」更重的违法实锤终局，必须触发B1=0（封顶30）。</w:t>
      </w:r>
    </w:p>
    <w:p>
      <w:pPr>
        <w:pStyle w:val="Heading2"/>
      </w:pPr>
      <w:r>
        <w:rPr>
          <w:color w:val="2E749B"/>
        </w:rPr>
        <w:t>2.3 口径层：摸鱼池准入无防飞刀闸门</w:t>
      </w:r>
    </w:p>
    <w:p>
      <w:r>
        <w:rPr>
          <w:b w:val="0"/>
        </w:rPr>
        <w:t>元道市值4.02亿（壳便宜分≈100），V2等级A（系数1.0），加权后摸鱼指数82高居榜首。这正是深度报告点名的教科书式飞刀案例：「超便宜但快退市」。摸鱼池的delisted判定只覆盖已完成退市整理的标的，不覆盖「终止上市事先告知书→停牌」这一锁定阶段。</w:t>
      </w:r>
    </w:p>
    <w:p>
      <w:pPr>
        <w:pStyle w:val="Heading1"/>
      </w:pPr>
      <w:r>
        <w:rPr>
          <w:color w:val="1A5276"/>
        </w:rPr>
        <w:t>三、本轮已实施修复（数据管道级 + B1规则细化）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修复项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性质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采集方案重写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fetch_risk_flags.py 弃关键词搜索，改为公司定向查询（stock=code,orgId，巨潮官方orgId映射），翻页正常、覆盖全量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bug修复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B1接入penalty桶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行政处罚决定书落地进入B1判定；fraud_involved同扫penalty桶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信号补全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公司案/个人案区分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PERSON_CASE过滤：董监高/实控人个人被立案处罚≠公司违法，不触发B1归零，走H1/S1（莫高案例：董事长个人被罚，恢复65/B）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规则修正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B1处罚三档细化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重大档(0分封顶30)=公司本体处罚+立案全链条；一般档(7分)=公司本体单发处罚无立案（沈化/人福/绝味类）；子公司档(7分)=仅子公司被罚（纳川/启环类）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规则细化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信号库全量重采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2965条信号（旧方案~150条），194/207家公司有信号；元道12桶从全空到命中27条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数据修复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会员3篇深度报告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页面端：注册会员免费3篇「ST股票分析专家」V168+G九章式深度报告（配额+申请码+企微交付）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功能升级</w:t>
            </w:r>
          </w:p>
        </w:tc>
      </w:tr>
    </w:tbl>
    <w:p>
      <w:r>
        <w:rPr>
          <w:b w:val="0"/>
        </w:rPr>
        <w:t>三档细化的依据：全量甄别62家「行政处罚落地」触发封顶的标的——38家为立案→处罚全链条（证监会稽查路径，重大信披违法实锤，封顶合理）；22家为公司本体单发处罚（地方证监局信披罚款，如ST沈化/ST人福/ST绝味，多为央企国资，无立案程序，处罚≠重大违法退市风险，原规则误伤）；2家仅为子公司被罚（*ST纳川/*ST启环，公司本体无处罚，不该归零）。</w:t>
      </w:r>
    </w:p>
    <w:p>
      <w:pPr>
        <w:pStyle w:val="Heading2"/>
      </w:pPr>
      <w:r>
        <w:rPr>
          <w:color w:val="2E749B"/>
        </w:rPr>
        <w:t>3.1 全榜分布演变（灰度对照）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9"/>
              </w:rPr>
              <w:t>阶段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A级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B级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C级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D级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修复前（8-29旧信号库）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109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信号大面积漏采，违法信号缺失，整体偏乐观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中间态（B1一律封顶）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75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65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过严：62家处罚落地全部归零，误伤单发/子公司处罚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最终态（三档细化后）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91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66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42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合理区间：38家重大违法封顶，22家一般+2家子公司回档</w:t>
            </w:r>
          </w:p>
        </w:tc>
      </w:tr>
    </w:tbl>
    <w:p>
      <w:r>
        <w:rPr>
          <w:b/>
        </w:rPr>
        <w:t>典型甄别案例：ST沈化（央企，辽宁证监局信披罚款，无立案）82分/A级——单发处罚仅扣3分；*ST纳川（子公司被罚+自身资不抵债+否定意见）33分/C级——财务问题主导降级，子公司处罚不再叠加归零；*ST元道（立案→处罚全链条）30分/D级——重大违法封顶维持。</w:t>
      </w:r>
    </w:p>
    <w:p>
      <w:pPr>
        <w:pStyle w:val="Heading1"/>
      </w:pPr>
      <w:r>
        <w:rPr>
          <w:color w:val="1A5276"/>
        </w:rPr>
        <w:t>四、修复实测：*ST元道 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分值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修复前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修复后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变化原因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C1 面值距离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C2 壳价值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S1 实控人性质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S2 股权质押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控股股东股份冻结/专户冻结/轮候冻结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A1 净资产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10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A2 扣非主营收入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A3 扣非净利润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D1 现金流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B1 立案/造假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10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行政处罚落地(欺诈发行)→0分, 触发封顶30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B2 审计意见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2024/2025年报连续保留意见→6分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F2 重组纾困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6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F1 财务趋势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H1 司法风险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控股股东股份冻结/专户冻结/轮候冻结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合计(封顶后)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/ 100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76 (A级·第19名)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30 (D级·第171名)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B1=0→封顶30</w:t>
            </w:r>
          </w:p>
        </w:tc>
      </w:tr>
    </w:tbl>
    <w:p>
      <w:r>
        <w:rPr>
          <w:b/>
        </w:rPr>
        <w:t>修复后元道信号桶命中 30 条公告（修复前0条）。专家模型参考分22，V2修复后30分（D级·第171名）——方向与量级均已对齐至「退市已锁定」区间；同时莫高65/B维持（公司/个人案区分后未误伤），沈化82/A恢复（央企单发处罚不封顶），三档规则通过交叉验证。</w:t>
      </w:r>
    </w:p>
    <w:p>
      <w:pPr>
        <w:pStyle w:val="Heading1"/>
      </w:pPr>
      <w:r>
        <w:rPr>
          <w:color w:val="1A5276"/>
        </w:rPr>
        <w:t>五、修改建议清单（待拍板，按优先级）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建议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规则设计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元道案例验证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退市锁定一票否决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公告命中「终止上市(事先)告知书/终止上市决定/退市整理期」→ delisted=true，踢出摸鱼池，榜单标记「已锁定退市」(不再参与评级)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8-28告知书→8-31停牌，应立即出池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摸鱼池防飞刀闸门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B1=0 或 B2=0 的标的不入摸鱼池（壳便宜分再高也无效——超便宜+快退市=飞刀）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元道壳便宜分≈100仍应出池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A1应收质量修正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应收账款/归母净资产&gt;40%时A1降1档（元道8-9亿应收/18.89亿净资产≈45%，账面PB失真）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A1: 10→8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C1价格动量因子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年内跌幅&gt;70%时C1降1档（元道-82%、52周低点2.34元逼近面值区）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C1: 5→4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信号采集纳入周更链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fetch_risk_flags.py 纳入weekly_update_friday.py（当前链外）；重大事件（处罚落地/终止上市告知）当日事件触发重跑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处罚决定书8-29披露, 8-28采集差一天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P2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B2直连审计意见字段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审计意见改从年报财务数据API直读（AkShare审计意见表），公告标题匹配作降级方案——保留意见公告标题口径不稳定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元道靠标题匹配本轮才补齐</w:t>
            </w:r>
          </w:p>
        </w:tc>
      </w:tr>
    </w:tbl>
    <w:p>
      <w:r>
        <w:rPr>
          <w:b w:val="0"/>
        </w:rPr>
        <w:t>说明：B1处罚三档细化已于本轮直接落地（属bug修复性质的规则还原，非口径变更）；P0两项为元道案例直接暴露的页面级缺口（摸鱼池准入），建议老Z拍板后实施；P1为口径微调（建议先跑灰度对照全榜分布变化再定）；P2为长期数据源加固。所有权重调整仍在score_config_v2.json外置框架内，改配置不改代码。</w:t>
      </w:r>
    </w:p>
    <w:p>
      <w:pPr>
        <w:pStyle w:val="Heading1"/>
      </w:pPr>
      <w:r>
        <w:rPr>
          <w:color w:val="1A5276"/>
        </w:rPr>
        <w:t>六、风险提示</w:t>
      </w:r>
    </w:p>
    <w:p>
      <w:r>
        <w:rPr>
          <w:b w:val="0"/>
        </w:rPr>
        <w:t>本报告为评分系统诊断文档，不构成投资建议。*ST元道已触及欺诈发行重大违法强制退市情形，2026-08-31起停牌，禁止抄底。数据来源：巨潮资讯网、东方财富、腾讯财经。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