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ST标准</w:t>
        <w:br/>
        <w:t>600302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9 名 ｜ 摸鱼指数 63.5 ｜ V2保壳分 74 ｜ A级 ｜ 全榜第 6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ST标准（600302）投资要点</w:t>
      </w:r>
    </w:p>
    <w:p>
      <w:pPr>
        <w:jc w:val="center"/>
      </w:pPr>
      <w:r>
        <w:rPr>
          <w:color w:val="666666"/>
          <w:sz w:val="20"/>
        </w:rPr>
        <w:t>主板 ｜ 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74 分 / A 级（全榜第 6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63.5 / 第 9 名（壳便宜分 53）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22.66 亿元 / 6.55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西安市人民政府国有资产监督管理委员会 / 市县国资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1F4E79"/>
          <w:sz w:val="24"/>
        </w:rPr>
        <w:t>综合评级：A级（74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风险源维度：A3 扣非净利润(3/6)、D1 现金流(0/4)、F2 重组纾困(2/6)、F1 财务趋势(0/4)，是主要失分区。</w:t>
      </w:r>
    </w:p>
    <w:p>
      <w:r>
        <w:rPr>
          <w:b w:val="0"/>
          <w:sz w:val="20"/>
        </w:rPr>
        <w:t>2. 需持续跟踪年报审计意见、立案进展与公告信号（近24个月巨潮定向采集）。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ST标准（600302）当前V2保壳评分 74 分（A级），全榜第 6 名。保壳压力低、退市风险小，短期无强制退市通道命中的迹象。（详细研判见正文九章。）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600302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ST标准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6.55 元 / 22.66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西安市人民政府国有资产监督管理委员会 / 市县国资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6 名 / A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单源出分，榜单分数=报告分数）。ST标准 当前 74 分、A 级，全榜第 6 名。保壳压力低、退市风险小，短期无强制退市通道命中的迹象。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A18/10、A212/12、A33/6、D10/4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B29/12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S18/12、S26/6、H14/4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F22/6、F10/4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归母净资产充裕，无资不抵债风险，财务退市线安全。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0/4：经营现金流为负，资金链压力大。</w:t>
      </w:r>
    </w:p>
    <w:p>
      <w:r>
        <w:rPr>
          <w:b w:val="0"/>
        </w:rPr>
        <w:t>A3 扣非净利润 3/6：微利或微亏，盈利面中性。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实控人：西安市人民政府国有资产监督管理委员会（市县国资）。S1 得分 8/12：市县国资实控，有地方国资信用兜底与资源协调能力。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6/6：无质押/质押比例极低，控制权稳固，无平仓扰动。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民企实控且无重大质押扰动，控制权平稳，但保壳无国资兜底。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10/10：无立案/造假信号，重大违法退市通道安全。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9/12：带强调事项段的无保留意见，审计面基本干净但有提示事项。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4/4：实控人无冻结/限高/立案，司法面无风险。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A18/10、A212/12、A33/6、D10/4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B29/12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S18/12、S26/6、H14/4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F22/6、F10/4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国资(8) + 营收达标(12) + 审计(9) + 无立案(10)；ST非*ST，保壳压力相对小。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ST标准 当前评级 A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6/8：市值处于壳基准5折~8折折价区，并购成本有吸引力。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22.66 亿元，对照壳基准 33.81 亿元（近2年154笔实控权变更市值中位数）：市值/基准 = 67%。处于折价/平价区，并购成本有吸引力或中性。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9 名，摸鱼指数 63.5（壳便宜分 53）。摸鱼指数=50%×V2保壳分+50%×壳便宜分，反映「保壳确定性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面值距离(6/6)、S2 股权质押(6/6)、A1 净资产(8/10)、A2 扣非主营收入(12/12)、B1 立案/造假(10/10)、H1 司法风险(4/4)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A3 扣非净利润(3/6)、D1 现金流(0/4)、F2 重组纾困(2/6)、F1 财务趋势(0/4)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面值距离(6/6)；S2 股权质押(6/6)。空头逻辑：A3 扣非净利润(3/6)；D1 现金流(0/4)。综合评级见第八章。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74 分 / A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6 名 / 第 9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保壳压力低、退市风险小，短期无强制退市通道命中的迹象。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【持仓投资者】保壳压力可控，跟踪下一报告期短板维度修复情况。</w:t>
        <w:br/>
        <w:t>【场外资金】若参与壳价博弈，关注市值是否进入并购成本优势区（C2=8）。</w:t>
        <w:br/>
        <w:t>【产业方】评级越高保壳确定性越强，壳价交易的安全边际越大。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现金流质量差(D1=0)、经营趋势转弱(F1=0)、微利(A3=3)。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ST标准（600302）=V2评分 74 分/A级/全榜第6名，摸鱼第9名（指数63.5）。C1 面值距离(6/6)、S2 股权质押(6/6)、A1 净资产(8/10)、A2 扣非主营收入(12/12)、B1 立案/造假(10/10)、H1 司法风险(4/4)为安全垫，A3 扣非净利润(3/6)、D1 现金流(0/4)、F2 重组纾困(2/6)、F1 财务趋势(0/4)为风险源。保壳压力低、退市风险小，短期无强制退市通道命中的迹象。（详见正文九章。）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深度跟读报告｜ST标准（600302）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