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*ST西发</w:t>
        <w:br/>
        <w:t>000752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 名 ｜ 摸鱼指数 65.0 ｜ V2保壳分 78 ｜ A级 ｜ 全榜第 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*ST西发（000752）投资要点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78 分 / A 级（全榜第 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65.0 / 第 3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22.97 亿元 / 8.71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罗希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实控人性质(3/12)、B2 审计意见(6/12)，是主要失分区。</w:t>
      </w:r>
    </w:p>
    <w:p>
      <w:r>
        <w:rPr>
          <w:b w:val="0"/>
          <w:sz w:val="20"/>
        </w:rPr>
        <w:t>2.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*ST西发（000752）当前V2保壳评分 78 分（A级），全榜第 3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000752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*ST西发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8.71 元 / 22.97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罗希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单源出分，榜单分数=报告分数）。*ST西发 当前 78 分、A 级，全榜第 3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实控人：罗希（民企(个人)）。S1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风险通道：规范通道——是当前最可能触发退市的路径，需优先跟踪。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财务质量前10前列：净资产充裕(10)+扣非盈利(6)+营收达标(12)；B1=7为一般档处罚(非立案链条)；已申请/预重整(4)——财务健康+预重整双保险，*ST中难得的「扣非盈利」标的。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*ST西发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22.97 亿元，对照壳基准 33.81 亿元（近2年154笔实控权变更市值中位数）：市值/基准 = 68%。处于折价/平价区，并购成本有吸引力或中性。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 名，摸鱼指数 65.0（壳便宜分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实控人性质(3/12)、B2 审计意见(6/12)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股权质押(6/6)。空头逻辑：S1 实控人性质(3/12)；B2 审计意见(6/12)。综合评级见第八章。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78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 名 / 第 3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民企实控人(S1=3)、预重整落地有不确定性、处罚一般档仍需跟踪。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*ST西发（000752）=V2评分 78 分/A级/全榜第3名，摸鱼第3名（指数65.0）。C1 面值距离(6/6)、S2 股权质押(6/6)、A1 净资产(10/10)、A2 扣非主营收入(12/12)、A3 扣非净利润(6/6)、D1 现金流(4/4)、F1 财务趋势(4/4)、H1 司法风险(4/4)为安全垫，S1 实控人性质(3/12)、B2 审计意见(6/12)为风险源。保壳压力低、退市风险小，短期无强制退市通道命中的迹象。（详见正文九章。）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深度跟读报告｜*ST西发（000752）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