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*ST亿通</w:t>
        <w:br/>
        <w:t>300211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15 名 ｜ 摸鱼指数 60.5 ｜ V2保壳分 69 ｜ B级 ｜ 全榜第 13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*ST亿通（300211）投资要点</w:t>
      </w:r>
    </w:p>
    <w:p>
      <w:pPr>
        <w:jc w:val="center"/>
      </w:pPr>
      <w:r>
        <w:rPr>
          <w:color w:val="666666"/>
          <w:sz w:val="20"/>
        </w:rPr>
        <w:t>创业板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69 分 / B 级（全榜第 13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60.5 / 第 15 名（壳便宜分 52）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23.52 亿元 / 7.74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黄汪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综合评级：B级（69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实控人性质(3/12)、A3 扣非净利润(0/6)、F2 重组纾困(0/6)、F1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*ST亿通（300211）当前V2保壳评分 69 分（B级），全榜第 13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300211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*ST亿通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7.74 元 / 23.52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黄汪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13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单源出分，榜单分数=报告分数）。*ST亿通 当前 69 分、B 级，全榜第 13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实控人：黄汪（民企(个人)）。S1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*ST亿通（300211）当前V2保壳评分 69 分（B级），全榜第 13 名。安全垫维度：C1面值距离、S2股权质押、A2扣非主营收入、D1现金流、B1立案/造假、B2审计意见、H1司法风险。实控人为民企(个人)（黄汪），无国资兜底，保壳依赖自身资源与外部资本博弈。暂无重组/纾困信号，保壳主要依赖自身经营修复。市值23.52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*ST亿通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23.52 亿元，对照壳基准 33.81 亿元（近2年154笔实控权变更市值中位数）：市值/基准 = 70%。处于折价/平价区，并购成本有吸引力或中性。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15 名，摸鱼指数 60.5（壳便宜分 52）。摸鱼指数=50%×V2保壳分+50%×壳便宜分，反映「保壳确定性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股权质押(6/6)、A2 扣非主营收入(12/12)、D1 现金流(4/4)、B1 立案/造假(10/10)、B2 审计意见(12/12)、H1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实控人性质(3/12)、A3 扣非净利润(0/6)、F2 重组纾困(0/6)、F1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股权质押(6/6)。空头逻辑：S1 实控人性质(3/12)；A3 扣非净利润(0/6)。综合评级见第八章。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69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13 名 / 第 15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风险源维度：S1实控人性质、A3扣非净利润、F2重组纾困、F1财务趋势。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*ST亿通（300211）=V2评分 69 分/B级/全榜第13名，摸鱼第15名（指数60.5）。C1 面值距离(6/6)、S2 股权质押(6/6)、A2 扣非主营收入(12/12)、D1 现金流(4/4)、B1 立案/造假(10/10)、B2 审计意见(12/12)、H1 司法风险(4/4)为安全垫，S1 实控人性质(3/12)、A3 扣非净利润(0/6)、F2 重组纾困(0/6)、F1 财务趋势(0/4)为风险源。保壳压力中等，个别维度存在失分，需跟踪下一报告期的修复情况。（详见正文九章。）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深度跟读报告｜*ST亿通（300211）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