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ST西王</w:t>
        <w:br/>
        <w:t>000639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16 名 ｜ 摸鱼指数 60.5 ｜ V2保壳分 65 ｜ B级 ｜ 全榜第 24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ST西王（000639）投资要点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65 分 / B 级（全榜第 24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60.5 / 第 16 名（壳便宜分 56）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18.89 亿元 / 1.75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王勇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面值距离(2/6)、S1 实控人性质(3/12)、A3 扣非净利润(3/6)、D1 现金流(2/4)、B1 立案/造假(4/10)、F1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ST西王（000639）当前V2保壳评分 65 分（B级），全榜第 24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000639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ST西王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1.75 元 / 18.89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王勇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24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单源出分，榜单分数=报告分数）。ST西王 当前 65 分、B 级，全榜第 24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实控人：王勇（民企(个人)）。S1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风险通道：违法通道、股东/治理——是当前最可能触发退市的路径，需优先跟踪。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ST西王（000639）当前V2保壳评分 65 分（B级），全榜第 24 名。安全垫维度：A1净资产、A2扣非主营收入、F2重组纾困、H1司法风险。实控人为民企(个人)（王勇），无国资兜底，保壳依赖自身资源与外部资本博弈。重组/纾困已进入执行或完成阶段，保壳确定性最高。市值18.89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ST西王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18.89 亿元，对照壳基准 33.81 亿元（近2年154笔实控权变更市值中位数）：市值/基准 = 56%。处于折价/平价区，并购成本有吸引力或中性。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16 名，摸鱼指数 60.5（壳便宜分 56）。摸鱼指数=50%×V2保壳分+50%×壳便宜分，反映「保壳确定性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A1 净资产(10/10)、A2 扣非主营收入(12/12)、F2 重组纾困(6/6)、H1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面值距离(2/6)、S1 实控人性质(3/12)、A3 扣非净利润(3/6)、D1 现金流(2/4)、B1 立案/造假(4/10)、F1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多头逻辑：A1 净资产(10/10)；A2 扣非主营收入(12/12)。空头逻辑：C1 面值距离(2/6)；S1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65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24 名 / 第 16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风险源维度：C1面值距离、S1实控人性质、A3扣非净利润、D1现金流、B1立案/造假、F1财务趋势。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ST西王（000639）=V2评分 65 分/B级/全榜第24名，摸鱼第16名（指数60.5）。A1 净资产(10/10)、A2 扣非主营收入(12/12)、F2 重组纾困(6/6)、H1 司法风险(4/4)为安全垫，C1 面值距离(2/6)、S1 实控人性质(3/12)、A3 扣非净利润(3/6)、D1 现金流(2/4)、B1 立案/造假(4/10)、F1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深度跟读报告｜ST西王（000639）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