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*ST联翔</w:t>
        <w:br/>
        <w:t>603272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 名 ｜ 摸鱼指数 60.5 ｜ V2保壳分 61 ｜ B级 ｜ 全榜第 43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*ST联翔（603272）投资要点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级（全榜第 43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60.5 / 第 17 名（壳便宜分 60）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15.56 亿元 / 15.02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卜晓华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实控人性质(3/12)、A2 扣非主营收入(0/12)、A3 扣非净利润(0/6)、F2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*ST联翔（603272）当前V2保壳评分 61 分（B级），全榜第 43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603272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*ST联翔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15.02 元 / 15.56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卜晓华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43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单源出分，榜单分数=报告分数）。*ST联翔 当前 61 分、B 级，全榜第 43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A18/10、A20/12、A30/6、D14/4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实控人：卜晓华（民企(个人)）。S1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A18/10、A20/12、A30/6、D14/4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*ST联翔（603272）当前V2保壳评分 61 分（B级），全榜第 43 名。安全垫维度：C1面值距离、C2壳价值锚定、S2股权质押、A1净资产、D1现金流、B1立案/造假、B2审计意见、H1司法风险。实控人为民企(个人)（卜晓华），无国资兜底，保壳依赖自身资源与外部资本博弈。暂无重组/纾困信号，保壳主要依赖自身经营修复。市值15.56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*ST联翔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15.56 亿元，对照壳基准 33.81 亿元（近2年154笔实控权变更市值中位数）：市值/基准 = 46%。处于并购/借壳成本优势区——壳越便宜，重组方入场成本越低，被并购概率上升。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 名，摸鱼指数 60.5（壳便宜分 60）。摸鱼指数=50%×V2保壳分+50%×壳便宜分，反映「保壳确定性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壳价值锚定(8/8)、S2 股权质押(6/6)、A1 净资产(8/10)、D1 现金流(4/4)、B1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实控人性质(3/12)、A2 扣非主营收入(0/12)、A3 扣非净利润(0/6)、F2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实控人性质(3/12)；A2 扣非主营收入(0/12)。综合评级见第八章。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43 名 / 第 17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风险源维度：S1实控人性质、A2扣非主营收入、A3扣非净利润、F2重组纾困、F1财务趋势。 营收未达标且扣非亏损，已触及「营收&lt;红线+亏损」财务类退市红线组合。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*ST联翔（603272）=V2评分 61 分/B级/全榜第43名，摸鱼第17名（指数60.5）。C1 面值距离(6/6)、C2 壳价值锚定(8/8)、S2 股权质押(6/6)、A1 净资产(8/10)、D1 现金流(4/4)、B1 立案/造假(10/10)、B2 审计意见(12/12)、H1 司法风险(4/4)为安全垫，S1 实控人性质(3/12)、A2 扣非主营收入(0/12)、A3 扣非净利润(0/6)、F2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深度跟读报告｜*ST联翔（603272）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