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*ST特迅</w:t>
        <w:br/>
        <w:t>002227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19 名 ｜ 摸鱼指数 60.0 ｜ V2保壳分 61 ｜ B级 ｜ 全榜第 44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*ST特迅（002227）投资要点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61 分 / B 级（全榜第 44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60.0 / 第 19 名（壳便宜分 59）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16.63 亿元 / 6.71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廖晓霞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综合评级：B级（61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实控人性质(3/12)、A2 扣非主营收入(6/12)、A3 扣非净利润(0/6)、D1 现金流(2/4)、B2 审计意见(6/12)、F2 重组纾困(0/6)、F1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*ST特迅（002227）当前V2保壳评分 61 分（B级），全榜第 44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002227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*ST特迅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6.71 元 / 16.63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廖晓霞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44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单源出分，榜单分数=报告分数）。*ST特迅 当前 61 分、B 级，全榜第 44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A18/10、A26/12、A30/6、D12/4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实控人：廖晓霞（民企(个人)）。S1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A18/10、A26/12、A30/6、D12/4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风险通道：财务红线、规范通道、纾困通道——是当前最可能触发退市的路径，需优先跟踪。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*ST特迅（002227）当前V2保壳评分 61 分（B级），全榜第 44 名。安全垫维度：C1面值距离、C2壳价值锚定、S2股权质押、A1净资产、B1立案/造假、H1司法风险。实控人为民企(个人)（廖晓霞），无国资兜底，保壳依赖自身资源与外部资本博弈。暂无重组/纾困信号，保壳主要依赖自身经营修复。市值16.63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*ST特迅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16.63 亿元，对照壳基准 33.81 亿元（近2年154笔实控权变更市值中位数）：市值/基准 = 49%。处于并购/借壳成本优势区——壳越便宜，重组方入场成本越低，被并购概率上升。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19 名，摸鱼指数 60.0（壳便宜分 59）。摸鱼指数=50%×V2保壳分+50%×壳便宜分，反映「保壳确定性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面值距离(6/6)、C2 壳价值锚定(8/8)、S2 股权质押(6/6)、A1 净资产(8/10)、B1 立案/造假(10/10)、H1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实控人性质(3/12)、A2 扣非主营收入(6/12)、A3 扣非净利润(0/6)、D1 现金流(2/4)、B2 审计意见(6/12)、F2 重组纾困(0/6)、F1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面值距离(6/6)；C2 壳价值锚定(8/8)。空头逻辑：S1 实控人性质(3/12)；A2 扣非主营收入(6/12)。综合评级见第八章。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61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44 名 / 第 19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风险源维度：S1实控人性质、A2扣非主营收入、A3扣非净利润、D1现金流、B2审计意见、F2重组纾困、F1财务趋势。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*ST特迅（002227）=V2评分 61 分/B级/全榜第44名，摸鱼第19名（指数60.0）。C1 面值距离(6/6)、C2 壳价值锚定(8/8)、S2 股权质押(6/6)、A1 净资产(8/10)、B1 立案/造假(10/10)、H1 司法风险(4/4)为安全垫，S1 实控人性质(3/12)、A2 扣非主营收入(6/12)、A3 扣非净利润(0/6)、D1 现金流(2/4)、B2 审计意见(6/12)、F2 重组纾困(0/6)、F1 财务趋势(2/4)为风险源。保壳压力中等，个别维度存在失分，需跟踪下一报告期的修复情况。（详见正文九章。）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深度跟读报告｜*ST特迅（002227）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