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ST朗进</w:t>
        <w:br/>
        <w:t>300594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23 名 ｜ 摸鱼指数 60.0 ｜ V2保壳分 57 ｜ B级 ｜ 全榜第 66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ST朗进（300594）投资要点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57 分 / B 级（全榜第 66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60.0 / 第 23 名（壳便宜分 63）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13.40 亿元 / 14.58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李敬恩,李敬茂,马筠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综合评级：B级（57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股权质押(0/6)、A3 扣非净利润(3/6)、B2 审计意见(6/12)、F2 重组纾困(0/6)、F1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ST朗进（300594）当前V2保壳评分 57 分（B级），全榜第 66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300594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ST朗进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14.58 元 / 13.40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李敬恩,李敬茂,马筠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66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单源出分，榜单分数=报告分数）。ST朗进 当前 57 分、B 级，全榜第 66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实控人：李敬恩,李敬茂,马筠（民企(法人)）。S1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ST朗进（300594）当前V2保壳评分 57 分（B级），全榜第 66 名。安全垫维度：C1面值距离、C2壳价值锚定、A1净资产、A2扣非主营收入、D1现金流。实控人为民企(法人)（李敬恩,李敬茂,马筠），无国资兜底，保壳依赖自身资源与外部资本博弈。暂无重组/纾困信号，保壳主要依赖自身经营修复。市值13.40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ST朗进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13.40 亿元，对照壳基准 33.81 亿元（近2年154笔实控权变更市值中位数）：市值/基准 = 40%。处于并购/借壳成本优势区——壳越便宜，重组方入场成本越低，被并购概率上升。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23 名，摸鱼指数 60.0（壳便宜分 63）。摸鱼指数=50%×V2保壳分+50%×壳便宜分，反映「保壳确定性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面值距离(6/6)、C2 壳价值锚定(8/8)、A1 净资产(8/10)、A2 扣非主营收入(12/12)、D1 现金流(4/4)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股权质押(0/6)、A3 扣非净利润(3/6)、B2 审计意见(6/12)、F2 重组纾困(0/6)、F1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面值距离(6/6)；C2 壳价值锚定(8/8)。空头逻辑：S1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57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66 名 / 第 23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风险源维度：S1实控人性质、S2股权质押、A3扣非净利润、B2审计意见、F2重组纾困、F1财务趋势、H1司法风险。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ST朗进（300594）=V2评分 57 分/B级/全榜第66名，摸鱼第23名（指数60.0）。C1 面值距离(6/6)、C2 壳价值锚定(8/8)、A1 净资产(8/10)、A2 扣非主营收入(12/12)、D1 现金流(4/4)为安全垫，S1 实控人性质(3/12)、S2 股权质押(0/6)、A3 扣非净利润(3/6)、B2 审计意见(6/12)、F2 重组纾困(0/6)、F1 财务趋势(0/4)、H1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深度跟读报告｜ST朗进（300594）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