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ST远智</w:t>
        <w:br/>
        <w:t>002689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24 名 ｜ 摸鱼指数 59.0 ｜ V2保壳分 71 ｜ A级 ｜ 全榜第 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ST远智（002689）投资要点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71 分 / A 级（全榜第 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59.0 / 第 24 名（壳便宜分 47）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29.53 亿元 / 2.83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康宝华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综合评级：A级（71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实控人性质(3/12)、B2 审计意见(6/12)、F2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ST远智（002689）当前V2保壳评分 71 分（A级），全榜第 8 名。保壳压力低、退市风险小，短期无强制退市通道命中的迹象。（详细研判见正文九章。）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002689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ST远智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2.83 元 / 29.53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康宝华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 名 / A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单源出分，榜单分数=报告分数）。ST远智 当前 71 分、A 级，全榜第 8 名。保壳压力低、退市风险小，短期无强制退市通道命中的迹象。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实控人：康宝华（民企(个人)）。S1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ST远智（002689）当前V2保壳评分 71 分（A级），全榜第 8 名。安全垫维度：S2股权质押、A1净资产、A2扣非主营收入、A3扣非净利润、D1现金流、B1立案/造假、H1司法风险。实控人为民企(个人)（康宝华），无国资兜底，保壳依赖自身资源与外部资本博弈。暂无重组/纾困信号，保壳主要依赖自身经营修复。市值29.53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ST远智 当前评级 A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29.53 亿元，对照壳基准 33.81 亿元（近2年154笔实控权变更市值中位数）：市值/基准 = 87%。处于折价/平价区，并购成本有吸引力或中性。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24 名，摸鱼指数 59.0（壳便宜分 47）。摸鱼指数=50%×V2保壳分+50%×壳便宜分，反映「保壳确定性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股权质押(6/6)、A1 净资产(10/10)、A2 扣非主营收入(12/12)、A3 扣非净利润(6/6)、D1 现金流(4/4)、B1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实控人性质(3/12)、B2 审计意见(6/12)、F2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股权质押(6/6)；A1 净资产(10/10)。空头逻辑：C2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71 分 / A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8 名 / 第 24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保壳压力低、退市风险小，短期无强制退市通道命中的迹象。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风险源维度：C2壳价值锚定、S1实控人性质、B2审计意见、F2重组纾困、F1财务趋势。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ST远智（002689）=V2评分 71 分/A级/全榜第8名，摸鱼第24名（指数59.0）。S2 股权质押(6/6)、A1 净资产(10/10)、A2 扣非主营收入(12/12)、A3 扣非净利润(6/6)、D1 现金流(4/4)、B1 立案/造假(10/10)、H1 司法风险(4/4)为安全垫，C2 壳价值锚定(4/8)、S1 实控人性质(3/12)、B2 审计意见(6/12)、F2 重组纾困(0/6)、F1 财务趋势(2/4)为风险源。保壳压力低、退市风险小，短期无强制退市通道命中的迹象。（详见正文九章。）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深度跟读报告｜ST远智（002689）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