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*ST柳化</w:t>
        <w:br/>
        <w:t>600423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25 名 ｜ 摸鱼指数 59.0 ｜ V2保壳分 66 ｜ B级 ｜ 全榜第 22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*ST柳化（600423）投资要点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66 分 / B 级（全榜第 22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59.0 / 第 25 名（壳便宜分 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23.48 亿元 / 2.94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柳州市国有资产监督管理委员会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风险源维度：A2 扣非主营收入(0/12)、A3 扣非净利润(0/6)、D1 现金流(2/4)、F2 重组纾困(2/6)，是主要失分区。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*ST柳化（600423）当前V2保壳评分 66 分（B级），全榜第 22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600423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*ST柳化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2.94 元 / 23.48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柳州市国有资产监督管理委员会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22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单源出分，榜单分数=报告分数）。*ST柳化 当前 66 分、B 级，全榜第 22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A18/10、A20/12、A30/6、D12/4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实控人：柳州市国有资产监督管理委员会（市县国资）。S1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A18/10、A20/12、A30/6、D12/4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风险通道：财务红线——是当前最可能触发退市的路径，需优先跟踪。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*ST柳化（600423）当前V2保壳评分 66 分（B级），全榜第 22 名。安全垫维度：S2股权质押、A1净资产、B1立案/造假、B2审计意见、F1财务趋势、H1司法风险。实控人为市县国资（柳州市国有资产监督管理委员会），地方国资具备一定信用背书与资源协调能力。已有出售资产/债务豁免等保壳动作，但尚未形成重组级信号。市值23.48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*ST柳化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23.48 亿元，对照壳基准 33.81 亿元（近2年154笔实控权变更市值中位数）：市值/基准 = 69%。处于折价/平价区，并购成本有吸引力或中性。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25 名，摸鱼指数 59.0（壳便宜分 52）。摸鱼指数=50%×V2保壳分+50%×壳便宜分，反映「保壳确定性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股权质押(6/6)、A1 净资产(8/10)、B1 立案/造假(10/10)、B2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A2 扣非主营收入(0/12)、A3 扣非净利润(0/6)、D1 现金流(2/4)、F2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股权质押(6/6)；A1 净资产(8/10)。空头逻辑：A2 扣非主营收入(0/12)；A3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66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22 名 / 第 25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风险源维度：A2扣非主营收入、A3扣非净利润、D1现金流、F2重组纾困。 营收未达标且扣非亏损，已触及「营收&lt;红线+亏损」财务类退市红线组合。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*ST柳化（600423）=V2评分 66 分/B级/全榜第22名，摸鱼第25名（指数59.0）。S2 股权质押(6/6)、A1 净资产(8/10)、B1 立案/造假(10/10)、B2 审计意见(12/12)、F1 财务趋势(4/4)、H1 司法风险(4/4)为安全垫，A2 扣非主营收入(0/12)、A3 扣非净利润(0/6)、D1 现金流(2/4)、F2 重组纾困(2/6)为风险源。保壳压力中等，个别维度存在失分，需跟踪下一报告期的修复情况。（详见正文九章。）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深度跟读报告｜*ST柳化（600423）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