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ST天玑</w:t>
        <w:br/>
        <w:t>300245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27 名 ｜ 摸鱼指数 59.0 ｜ V2保壳分 61 ｜ B级 ｜ 全榜第 42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ST天玑（300245）投资要点</w:t>
      </w:r>
    </w:p>
    <w:p>
      <w:pPr>
        <w:jc w:val="center"/>
      </w:pPr>
      <w:r>
        <w:rPr>
          <w:color w:val="666666"/>
          <w:sz w:val="20"/>
        </w:rPr>
        <w:t>创业板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61 分 / B 级（全榜第 42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59.0 / 第 27 名（壳便宜分 57）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18.33 亿元 / 6.01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苏博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综合评级：B级（61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风险源维度：S1 实控人性质(3/12)、S2 股权质押(0/6)、A3 扣非净利润(3/6)、D1 现金流(0/4)、F2 重组纾困(2/6)、F1 财务趋势(0/4)、H1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ST天玑（300245）当前V2保壳评分 61 分（B级），全榜第 42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300245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ST天玑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6.01 元 / 18.33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苏博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42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单源出分，榜单分数=报告分数）。ST天玑 当前 61 分、B 级，全榜第 42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B29/12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实控人：苏博（民企(个人)）。S1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9/12：带强调事项段的无保留意见，审计面基本干净但有提示事项。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B29/12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ST天玑（300245）当前V2保壳评分 61 分（B级），全榜第 42 名。安全垫维度：C1面值距离、A1净资产、A2扣非主营收入、B1立案/造假。实控人为民企(个人)（苏博），无国资兜底，保壳依赖自身资源与外部资本博弈。已有出售资产/债务豁免等保壳动作，但尚未形成重组级信号。市值18.33亿，处于基准壳费线5~8折折价区，并购成本有吸引力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ST天玑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6/8：市值处于壳基准5折~8折折价区，并购成本有吸引力。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18.33 亿元，对照壳基准 33.81 亿元（近2年154笔实控权变更市值中位数）：市值/基准 = 54%。处于折价/平价区，并购成本有吸引力或中性。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27 名，摸鱼指数 59.0（壳便宜分 57）。摸鱼指数=50%×V2保壳分+50%×壳便宜分，反映「保壳确定性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面值距离(6/6)、A1 净资产(10/10)、A2 扣非主营收入(12/12)、B1 立案/造假(10/10)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S1 实控人性质(3/12)、S2 股权质押(0/6)、A3 扣非净利润(3/6)、D1 现金流(0/4)、F2 重组纾困(2/6)、F1 财务趋势(0/4)、H1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面值距离(6/6)；A1 净资产(10/10)。空头逻辑：S1 实控人性质(3/12)；S2 股权质押(0/6)。综合评级见第八章。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61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42 名 / 第 27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风险源维度：S1实控人性质、S2股权质押、A3扣非净利润、D1现金流、F2重组纾困、F1财务趋势、H1司法风险。 经营现金流为负，资金链压力较大。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ST天玑（300245）=V2评分 61 分/B级/全榜第42名，摸鱼第27名（指数59.0）。C1 面值距离(6/6)、A1 净资产(10/10)、A2 扣非主营收入(12/12)、B1 立案/造假(10/10)为安全垫，S1 实控人性质(3/12)、S2 股权质押(0/6)、A3 扣非净利润(3/6)、D1 现金流(0/4)、F2 重组纾困(2/6)、F1 财务趋势(0/4)、H1 司法风险(0/4)为风险源。保壳压力中等，个别维度存在失分，需跟踪下一报告期的修复情况。（详见正文九章。）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深度跟读报告｜ST天玑（300245）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