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*ST萃华</w:t>
        <w:br/>
        <w:t>002731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28 名 ｜ 摸鱼指数 58.6 ｜ V2保壳分 38 ｜ C级 ｜ 全榜第 158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*ST萃华（002731）投资要点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38 分 / C 级（全榜第 158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58.6 / 第 28 名（壳便宜分 100）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2.18 亿元 / 0.85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陈思伟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综合评级：C级（38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面值距离(0/6)、C2 壳价值锚定(2/8)、S1 实控人性质(3/12)、S2 股权质押(0/6)、A1 净资产(3/10)、A2 扣非主营收入(3/12)、D1 现金流(1/4)、B1 立案/造假(4/10)、F2 重组纾困(0/6)、H1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股价贴近或跌破1元面值线，面值退市危机显著。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*ST萃华（002731）当前V2保壳评分 38 分（C级），全榜第 158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002731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*ST萃华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0.85 元 / 2.18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陈思伟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158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单源出分，榜单分数=报告分数）。*ST萃华 当前 38 分、C 级，全榜第 158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C10/6、C22/8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A13/10、A23/12、A36/6、D11/4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扣非主营收入未达标（主板&lt;3亿/双创&lt;1亿），若叠加亏损将触发财务类退市红线，需重点跟踪年报。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1/4：经营现金流为负，资金链压力大。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实控人：陈思伟（民企(个人)）。S1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4/10：重大违法处罚落地（立案→处罚全链条），触发封顶（总分≤30）。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C10/6、C22/8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A13/10、A23/12、A36/6、D11/4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风险通道：市场通道、财务红线、违法通道、股东/治理、纾困通道——是当前最可能触发退市的路径，需优先跟踪。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*ST萃华（002731）当前V2保壳评分 38 分（C级），全榜第 158 名。安全垫维度：A3扣非净利润、B2审计意见、F1财务趋势。实控人为民企(个人)（陈思伟），无国资兜底，保壳依赖自身资源与外部资本博弈。暂无重组/纾困信号，保壳主要依赖自身经营修复。市值2.18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*ST萃华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2.18 亿元，对照壳基准 33.81 亿元（近2年154笔实控权变更市值中位数）：市值/基准 = 6%。处于并购/借壳成本优势区——壳越便宜，重组方入场成本越低，被并购概率上升。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28 名，摸鱼指数 58.6（壳便宜分 100）。摸鱼指数=50%×V2保壳分+50%×壳便宜分，反映「保壳确定性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A3 扣非净利润(6/6)、B2 审计意见(12/12)、F1 财务趋势(4/4)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面值距离(0/6)、C2 壳价值锚定(2/8)、S1 实控人性质(3/12)、S2 股权质押(0/6)、A1 净资产(3/10)、A2 扣非主营收入(3/12)、D1 现金流(1/4)、B1 立案/造假(4/10)、F2 重组纾困(0/6)、H1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多头逻辑：A3 扣非净利润(6/6)；B2 审计意见(12/12)。空头逻辑：C1 面值距离(0/6)；C2 壳价值锚定(2/8)。综合评级见第八章。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38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158 名 / 第 28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风险源维度：C1面值距离、C2壳价值锚定、S1实控人性质、S2股权质押、A1净资产、A2扣非主营收入、D1现金流、B1立案/造假、F2重组纾困、H1司法风险。 扣非主营收入未达标（主板&lt;3亿/双创&lt;1亿），需警惕年报后财务类退市风险。 股价贴近或跌破1元面值线（C1≤1），面值退市危机显著。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*ST萃华（002731）=V2评分 38 分/C级/全榜第158名，摸鱼第28名（指数58.6）。A3 扣非净利润(6/6)、B2 审计意见(12/12)、F1 财务趋势(4/4)为安全垫，C1 面值距离(0/6)、C2 壳价值锚定(2/8)、S1 实控人性质(3/12)、S2 股权质押(0/6)、A1 净资产(3/10)、A2 扣非主营收入(3/12)、D1 现金流(1/4)、B1 立案/造假(4/10)、F2 重组纾困(0/6)、H1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深度跟读报告｜*ST萃华（002731）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