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ST帕瓦</w:t>
        <w:br/>
        <w:t>688184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32 名 ｜ 摸鱼指数 58.5 ｜ V2保壳分 59 ｜ B级 ｜ 全榜第 53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ST帕瓦（688184）投资要点</w:t>
      </w:r>
    </w:p>
    <w:p>
      <w:pPr>
        <w:jc w:val="center"/>
      </w:pPr>
      <w:r>
        <w:rPr>
          <w:color w:val="666666"/>
          <w:sz w:val="20"/>
        </w:rPr>
        <w:t>科创板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级（全榜第 53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58.5 / 第 32 名（壳便宜分 58）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17.10 亿元 / 10.91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王振宇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扣非净利润(3/6)、D1 现金流(0/4)、B1 立案/造假(4/10)、F2 重组纾困(2/6)、H1 司法风险(0/4)，是主要失分区。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ST帕瓦（688184）当前V2保壳评分 59 分（B级），全榜第 53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688184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ST帕瓦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10.91 元 / 17.10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王振宇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53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单源出分，榜单分数=报告分数）。ST帕瓦 当前 59 分、B 级，全榜第 53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实控人：王振宇（民企(个人)）。S1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风险通道：违法通道、股东/治理——是当前最可能触发退市的路径，需优先跟踪。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ST帕瓦（688184）当前V2保壳评分 59 分（B级），全榜第 53 名。安全垫维度：C1面值距离、A1净资产、A2扣非主营收入、F1财务趋势。实控人为民企(个人)（王振宇），无国资兜底，保壳依赖自身资源与外部资本博弈。已有出售资产/债务豁免等保壳动作，但尚未形成重组级信号。市值17.10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ST帕瓦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17.10 亿元，对照壳基准 33.81 亿元（近2年154笔实控权变更市值中位数）：市值/基准 = 51%。处于折价/平价区，并购成本有吸引力或中性。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32 名，摸鱼指数 58.5（壳便宜分 58）。摸鱼指数=50%×V2保壳分+50%×壳便宜分，反映「保壳确定性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扣非净利润(3/6)、D1 现金流(0/4)、B1 立案/造假(4/10)、F2 重组纾困(2/6)、H1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53 名 / 第 32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风险源维度：S1实控人性质、S2股权质押、A3扣非净利润、D1现金流、B1立案/造假、F2重组纾困、H1司法风险。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ST帕瓦（688184）=V2评分 59 分/B级/全榜第53名，摸鱼第32名（指数58.5）。C1 面值距离(6/6)、A1 净资产(10/10)、A2 扣非主营收入(12/12)、F1 财务趋势(4/4)为安全垫，S1 实控人性质(3/12)、S2 股权质押(0/6)、A3 扣非净利润(3/6)、D1 现金流(0/4)、B1 立案/造假(4/10)、F2 重组纾困(2/6)、H1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深度跟读报告｜ST帕瓦（688184）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