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*ST美芝</w:t>
        <w:br/>
        <w:t>002856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36 名 ｜ 摸鱼指数 57.5 ｜ V2保壳分 62 ｜ B级 ｜ 全榜第 35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*ST美芝（002856）投资要点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62 分 / B 级（全榜第 35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57.5 / 第 36 名（壳便宜分 53）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22.77 亿元 / 16.83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佛山市南海区国有资产监督管理局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综合评级：B级（62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风险源维度：A1 净资产(0/10)、A3 扣非净利润(0/6)、D1 现金流(0/4)、F2 重组纾困(2/6)、F1 财务趋势(2/4)，是主要失分区。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*ST美芝（002856）当前V2保壳评分 62 分（B级），全榜第 35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002856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*ST美芝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16.83 元 / 22.77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佛山市南海区国有资产监督管理局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35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单源出分，榜单分数=报告分数）。*ST美芝 当前 62 分、B 级，全榜第 35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A10/10、A29/12、A30/6、D10/4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营收接近达标但含金量打折（如低毛利冲量被模型识别）。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实控人：佛山市南海区国有资产监督管理局（市县国资）。S1 得分 8/12：市县国资实控，有地方国资信用兜底与资源协调能力。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9/12：带强调事项段的无保留意见，审计面基本干净但有提示事项。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A10/10、A29/12、A30/6、D10/4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风险通道：财务红线、纾困通道——是当前最可能触发退市的路径，需优先跟踪。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*ST美芝（002856）当前V2保壳评分 62 分（B级），全榜第 35 名。安全垫维度：C1面值距离、S2股权质押、B1立案/造假、H1司法风险。实控人为市县国资（佛山市南海区国有资产监督管理局），地方国资具备一定信用背书与资源协调能力。已有出售资产/债务豁免等保壳动作，但尚未形成重组级信号。市值22.77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*ST美芝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22.77 亿元，对照壳基准 33.81 亿元（近2年154笔实控权变更市值中位数）：市值/基准 = 67%。处于折价/平价区，并购成本有吸引力或中性。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36 名，摸鱼指数 57.5（壳便宜分 53）。摸鱼指数=50%×V2保壳分+50%×壳便宜分，反映「保壳确定性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面值距离(6/6)、S2 股权质押(6/6)、B1 立案/造假(10/10)、H1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A1 净资产(0/10)、A3 扣非净利润(0/6)、D1 现金流(0/4)、F2 重组纾困(2/6)、F1 财务趋势(2/4)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面值距离(6/6)；S2 股权质押(6/6)。空头逻辑：A1 净资产(0/10)；A3 扣非净利润(0/6)。综合评级见第八章。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62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35 名 / 第 36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风险源维度：A1净资产、A3扣非净利润、D1现金流、F2重组纾困、F1财务趋势。 经营现金流为负，资金链压力较大。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*ST美芝（002856）=V2评分 62 分/B级/全榜第35名，摸鱼第36名（指数57.5）。C1 面值距离(6/6)、S2 股权质押(6/6)、B1 立案/造假(10/10)、H1 司法风险(4/4)为安全垫，A1 净资产(0/10)、A3 扣非净利润(0/6)、D1 现金流(0/4)、F2 重组纾困(2/6)、F1 财务趋势(2/4)为风险源。保壳压力中等，个别维度存在失分，需跟踪下一报告期的修复情况。（详见正文九章。）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深度跟读报告｜*ST美芝（002856）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