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*ST宁视</w:t>
        <w:br/>
        <w:t>300076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37 名 ｜ 摸鱼指数 57.5 ｜ V2保壳分 59 ｜ B级 ｜ 全榜第 52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*ST宁视（300076）投资要点</w:t>
      </w:r>
    </w:p>
    <w:p>
      <w:pPr>
        <w:jc w:val="center"/>
      </w:pPr>
      <w:r>
        <w:rPr>
          <w:color w:val="666666"/>
          <w:sz w:val="20"/>
        </w:rPr>
        <w:t>创业板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级（全榜第 52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57.5 / 第 37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19.25 亿元 / 4.54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开封市人民政府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风险源维度：A2 扣非主营收入(6/12)、A3 扣非净利润(0/6)、D1 现金流(0/4)、B2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*ST宁视（300076）当前V2保壳评分 59 分（B级），全榜第 52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300076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*ST宁视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4.54 元 / 19.25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开封市人民政府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52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单源出分，榜单分数=报告分数）。*ST宁视 当前 59 分、B 级，全榜第 52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实控人：开封市人民政府（市县国资）。S1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A18/10、A26/12、A30/6、D10/4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风险通道：财务红线、规范通道、纾困通道——是当前最可能触发退市的路径，需优先跟踪。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*ST宁视（300076）当前V2保壳评分 59 分（B级），全榜第 52 名。安全垫维度：C1面值距离、A1净资产、B1立案/造假、H1司法风险。实控人为市县国资（开封市人民政府），地方国资具备一定信用背书与资源协调能力。暂无重组/纾困信号，保壳主要依赖自身经营修复。市值19.25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*ST宁视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19.25 亿元，对照壳基准 33.81 亿元（近2年154笔实控权变更市值中位数）：市值/基准 = 57%。处于折价/平价区，并购成本有吸引力或中性。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37 名，摸鱼指数 57.5（壳便宜分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净资产(8/10)、B1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A2 扣非主营收入(6/12)、A3 扣非净利润(0/6)、D1 现金流(0/4)、B2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净资产(8/10)。空头逻辑：A2 扣非主营收入(6/12)；A3 扣非净利润(0/6)。综合评级见第八章。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52 名 / 第 37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风险源维度：A2扣非主营收入、A3扣非净利润、D1现金流、B2审计意见、F2重组纾困、F1财务趋势。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*ST宁视（300076）=V2评分 59 分/B级/全榜第52名，摸鱼第37名（指数57.5）。C1 面值距离(5/6)、A1 净资产(8/10)、B1 立案/造假(10/10)、H1 司法风险(4/4)为安全垫，A2 扣非主营收入(6/12)、A3 扣非净利润(0/6)、D1 现金流(0/4)、B2 审计意见(6/12)、F2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深度跟读报告｜*ST宁视（300076）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