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ST云城</w:t>
        <w:br/>
        <w:t>600239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41 名 ｜ 摸鱼指数 57.0 ｜ V2保壳分 62 ｜ B级 ｜ 全榜第 41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ST云城（600239）投资要点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62 分 / B 级（全榜第 41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57.0 / 第 41 名（壳便宜分 52）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23.28 亿元 / 1.45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云南省人民政府国有资产监督管理委员会 / 省级国资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综合评级：B级（62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面值距离(1/6)、C2 壳价值锚定(4/8)、S2 股权质押(0/6)、A3 扣非净利润(3/6)、B2 审计意见(6/12)、F2 重组纾困(2/6)、F1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股价贴近或跌破1元面值线，面值退市危机显著。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ST云城（600239）当前V2保壳评分 62 分（B级），全榜第 41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600239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ST云城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1.45 元 / 23.28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云南省人民政府国有资产监督管理委员会 / 省级国资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41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单源出分，榜单分数=报告分数）。ST云城 当前 62 分、B 级，全榜第 41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C11/6、C24/8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实控人：云南省人民政府国有资产监督管理委员会（省级国资）。S1 得分 10/12：国资实控（央企或省级国资委），保壳兜底能力与信用资源为最高档。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国资实控且质押风险低，控制权稳定，具备保壳兜底能力。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C11/6、C24/8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ST云城（600239）当前V2保壳评分 62 分（B级），全榜第 41 名。安全垫维度：S1实控人性质、A1净资产、A2扣非主营收入、D1现金流、B1立案/造假。实控人为省级国资（云南省人民政府国有资产监督管理委员会），具备省级政府信用背书与资源整合能力。已有出售资产/债务豁免等保壳动作，但尚未形成重组级信号。市值23.28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ST云城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23.28 亿元，对照壳基准 33.81 亿元（近2年154笔实控权变更市值中位数）：市值/基准 = 69%。处于折价/平价区，并购成本有吸引力或中性。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41 名，摸鱼指数 57.0（壳便宜分 52）。摸鱼指数=50%×V2保壳分+50%×壳便宜分，反映「保壳确定性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S1 实控人性质(10/12)、A1 净资产(10/10)、A2 扣非主营收入(12/12)、D1 现金流(4/4)、B1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面值距离(1/6)、C2 壳价值锚定(4/8)、S2 股权质押(0/6)、A3 扣非净利润(3/6)、B2 审计意见(6/12)、F2 重组纾困(2/6)、F1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多头逻辑：S1 实控人性质(10/12)；A1 净资产(10/10)。空头逻辑：C1 面值距离(1/6)；C2 壳价值锚定(4/8)。综合评级见第八章。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62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41 名 / 第 41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风险源维度：C1面值距离、C2壳价值锚定、S2股权质押、A3扣非净利润、B2审计意见、F2重组纾困、F1财务趋势、H1司法风险。 股价贴近或跌破1元面值线（C1≤1），面值退市危机显著。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ST云城（600239）=V2评分 62 分/B级/全榜第41名，摸鱼第41名（指数57.0）。S1 实控人性质(10/12)、A1 净资产(10/10)、A2 扣非主营收入(12/12)、D1 现金流(4/4)、B1 立案/造假(10/10)为安全垫，C1 面值距离(1/6)、C2 壳价值锚定(4/8)、S2 股权质押(0/6)、A3 扣非净利润(3/6)、B2 审计意见(6/12)、F2 重组纾困(2/6)、F1 财务趋势(0/4)、H1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深度跟读报告｜ST云城（600239）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