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*ST数源</w:t>
        <w:br/>
        <w:t>000909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43 名 ｜ 摸鱼指数 57.0 ｜ V2保壳分 59 ｜ B级 ｜ 全榜第 54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*ST数源（000909）投资要点</w:t>
      </w:r>
    </w:p>
    <w:p>
      <w:pPr>
        <w:jc w:val="center"/>
      </w:pPr>
      <w:r>
        <w:rPr>
          <w:color w:val="666666"/>
          <w:sz w:val="20"/>
        </w:rPr>
        <w:t>主板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59 分 / B 级（全榜第 54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57.0 / 第 43 名（壳便宜分 55）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19.65 亿元 / 4.49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杭州市人民政府 / 市县国资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综合评级：B级（59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风险源维度：A2 扣非主营收入(6/12)、A3 扣非净利润(0/6)、B1 立案/造假(4/10)、B2 审计意见(6/12)、F2 重组纾困(0/6)、F1 财务趋势(2/4)，是主要失分区。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*ST数源（000909）当前V2保壳评分 59 分（B级），全榜第 54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000909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*ST数源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4.49 元 / 19.65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杭州市人民政府 / 市县国资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54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单源出分，榜单分数=报告分数）。*ST数源 当前 59 分、B 级，全榜第 54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A18/10、A26/12、A30/6、D14/4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B14/10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S18/12、S26/6、H14/4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归母净资产充裕，无资不抵债风险，财务退市线安全。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营收低于红线但缺口可控。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4/4：经营现金流为正，造血正常。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实控人：杭州市人民政府（市县国资）。S1 得分 8/12：市县国资实控，有地方国资信用兜底与资源协调能力。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4/10：重大违法处罚落地（立案→处罚全链条），触发封顶（总分≤30）。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A18/10、A26/12、A30/6、D14/4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B14/10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S18/12、S26/6、H14/4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风险通道：规范通道、违法通道、纾困通道——是当前最可能触发退市的路径，需优先跟踪。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*ST数源（000909）当前V2保壳评分 59 分（B级），全榜第 54 名。安全垫维度：C1面值距离、S2股权质押、A1净资产、D1现金流、H1司法风险。实控人为市县国资（杭州市人民政府），地方国资具备一定信用背书与资源协调能力。暂无重组/纾困信号，保壳主要依赖自身经营修复。市值19.65亿，处于基准壳费线5~8折折价区，并购成本有吸引力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*ST数源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6/8：市值处于壳基准5折~8折折价区，并购成本有吸引力。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19.65 亿元，对照壳基准 33.81 亿元（近2年154笔实控权变更市值中位数）：市值/基准 = 58%。处于折价/平价区，并购成本有吸引力或中性。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43 名，摸鱼指数 57.0（壳便宜分 55）。摸鱼指数=50%×V2保壳分+50%×壳便宜分，反映「保壳确定性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面值距离(5/6)、S2 股权质押(6/6)、A1 净资产(8/10)、D1 现金流(4/4)、H1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A2 扣非主营收入(6/12)、A3 扣非净利润(0/6)、B1 立案/造假(4/10)、B2 审计意见(6/12)、F2 重组纾困(0/6)、F1 财务趋势(2/4)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面值距离(5/6)；S2 股权质押(6/6)。空头逻辑：A2 扣非主营收入(6/12)；A3 扣非净利润(0/6)。综合评级见第八章。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59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54 名 / 第 43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风险源维度：A2扣非主营收入、A3扣非净利润、B1立案/造假、B2审计意见、F2重组纾困、F1财务趋势。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*ST数源（000909）=V2评分 59 分/B级/全榜第54名，摸鱼第43名（指数57.0）。C1 面值距离(5/6)、S2 股权质押(6/6)、A1 净资产(8/10)、D1 现金流(4/4)、H1 司法风险(4/4)为安全垫，A2 扣非主营收入(6/12)、A3 扣非净利润(0/6)、B1 立案/造假(4/10)、B2 审计意见(6/12)、F2 重组纾困(0/6)、F1 财务趋势(2/4)为风险源。保壳压力中等，个别维度存在失分，需跟踪下一报告期的修复情况。（详见正文九章。）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深度跟读报告｜*ST数源（000909）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