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*ST长投</w:t>
        <w:br/>
        <w:t>600119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44 名 ｜ 摸鱼指数 56.5 ｜ V2保壳分 56 ｜ B级 ｜ 全榜第 74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*ST长投（600119）投资要点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56 分 / B 级（全榜第 74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56.5 / 第 44 名（壳便宜分 57）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18.56 亿元 / 5.08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上海市国有资产监督管理委员会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综合评级：B级（56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风险源维度：A2 扣非主营收入(0/12)、A3 扣非净利润(0/6)、D1 现金流(2/4)、B2 审计意见(6/12)、F2 重组纾困(0/6)、F1 财务趋势(2/4)，是主要失分区。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*ST长投（600119）当前V2保壳评分 56 分（B级），全榜第 74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600119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*ST长投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5.08 元 / 18.56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上海市国有资产监督管理委员会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74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单源出分，榜单分数=报告分数）。*ST长投 当前 56 分、B 级，全榜第 74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A16/10、A20/12、A30/6、D12/4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营收严重不达标（接近0或微收），财务类退市风险极端。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已触及「营收&lt;红线+亏损」财务类退市红线组合——这是V2体系中最高优先级的财务退市信号，年报后触发*ST/退市风险高。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实控人：上海市国有资产监督管理委员会（市县国资）。S1 得分 8/12：市县国资实控，有地方国资信用兜底与资源协调能力。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A16/10、A20/12、A30/6、D12/4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风险通道：财务红线、规范通道、纾困通道——是当前最可能触发退市的路径，需优先跟踪。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*ST长投（600119）当前V2保壳评分 56 分（B级），全榜第 74 名。安全垫维度：C1面值距离、S2股权质押、B1立案/造假、H1司法风险。实控人为市县国资（上海市国有资产监督管理委员会），地方国资具备一定信用背书与资源协调能力。暂无重组/纾困信号，保壳主要依赖自身经营修复。市值18.56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*ST长投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18.56 亿元，对照壳基准 33.81 亿元（近2年154笔实控权变更市值中位数）：市值/基准 = 55%。处于折价/平价区，并购成本有吸引力或中性。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44 名，摸鱼指数 56.5（壳便宜分 57）。摸鱼指数=50%×V2保壳分+50%×壳便宜分，反映「保壳确定性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面值距离(6/6)、S2 股权质押(6/6)、B1 立案/造假(10/10)、H1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A2 扣非主营收入(0/12)、A3 扣非净利润(0/6)、D1 现金流(2/4)、B2 审计意见(6/12)、F2 重组纾困(0/6)、F1 财务趋势(2/4)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面值距离(6/6)；S2 股权质押(6/6)。空头逻辑：A2 扣非主营收入(0/12)；A3 扣非净利润(0/6)。综合评级见第八章。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56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74 名 / 第 44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风险源维度：A2扣非主营收入、A3扣非净利润、D1现金流、B2审计意见、F2重组纾困、F1财务趋势。 营收未达标且扣非亏损，已触及「营收&lt;红线+亏损」财务类退市红线组合。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*ST长投（600119）=V2评分 56 分/B级/全榜第74名，摸鱼第44名（指数56.5）。C1 面值距离(6/6)、S2 股权质押(6/6)、B1 立案/造假(10/10)、H1 司法风险(4/4)为安全垫，A2 扣非主营收入(0/12)、A3 扣非净利润(0/6)、D1 现金流(2/4)、B2 审计意见(6/12)、F2 重组纾困(0/6)、F1 财务趋势(2/4)为风险源。保壳压力中等，个别维度存在失分，需跟踪下一报告期的修复情况。（详见正文九章。）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深度跟读报告｜*ST长投（600119）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