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*ST新元</w:t>
        <w:br/>
        <w:t>300472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47 名 ｜ 摸鱼指数 55.0 ｜ V2保壳分 54 ｜ B级 ｜ 全榜第 85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*ST新元（300472）投资要点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级（全榜第 85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55.0 / 第 47 名（壳便宜分 56）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19.35 亿元 / 7.03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曾维斌,姜承法,朱业胜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股权质押(0/6)、A1 净资产(3/10)、A3 扣非净利润(0/6)、D1 现金流(0/4)、H1 司法风险(0/4)，是主要失分区。</w:t>
      </w:r>
    </w:p>
    <w:p>
      <w:r>
        <w:rPr>
          <w:b w:val="0"/>
          <w:sz w:val="20"/>
        </w:rPr>
        <w:t>2.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*ST新元（300472）当前V2保壳评分 54 分（B级），全榜第 85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300472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*ST新元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7.03 元 / 19.35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曾维斌,姜承法,朱业胜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85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单源出分，榜单分数=报告分数）。*ST新元 当前 54 分、B 级，全榜第 85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实控人：曾维斌,姜承法,朱业胜（民企(法人)）。S1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风险通道：财务红线、股东/治理——是当前最可能触发退市的路径，需优先跟踪。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*ST新元（300472）当前V2保壳评分 54 分（B级），全榜第 85 名。安全垫维度：C1面值距离、A2扣非主营收入、F1财务趋势。实控人为民企(法人)（曾维斌,姜承法,朱业胜），无国资兜底，保壳依赖自身资源与外部资本博弈。重组/预重整正在推进，保壳有实质抓手。市值19.35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*ST新元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19.35 亿元，对照壳基准 33.81 亿元（近2年154笔实控权变更市值中位数）：市值/基准 = 57%。处于折价/平价区，并购成本有吸引力或中性。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47 名，摸鱼指数 55.0（壳便宜分 56）。摸鱼指数=50%×V2保壳分+50%×壳便宜分，反映「保壳确定性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股权质押(0/6)、A1 净资产(3/10)、A3 扣非净利润(0/6)、D1 现金流(0/4)、H1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85 名 / 第 47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风险源维度：S1实控人性质、S2股权质押、A1净资产、A3扣非净利润、D1现金流、H1司法风险。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*ST新元（300472）=V2评分 54 分/B级/全榜第85名，摸鱼第47名（指数55.0）。C1 面值距离(6/6)、A2 扣非主营收入(12/12)、F1 财务趋势(4/4)为安全垫，S1 实控人性质(3/12)、S2 股权质押(0/6)、A1 净资产(3/10)、A3 扣非净利润(0/6)、D1 现金流(0/4)、H1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深度跟读报告｜*ST新元（300472）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